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81" w:rsidRDefault="00781181" w:rsidP="00781181">
      <w:pPr>
        <w:rPr>
          <w:rFonts w:ascii="Times New Roman" w:hAnsi="Times New Roman"/>
        </w:rPr>
      </w:pPr>
    </w:p>
    <w:p w:rsidR="00781181" w:rsidRDefault="00781181" w:rsidP="00781181"/>
    <w:p w:rsidR="00781181" w:rsidRDefault="00781181" w:rsidP="00781181">
      <w:r>
        <w:rPr>
          <w:noProof/>
          <w:lang w:val="en-AU" w:eastAsia="en-AU"/>
        </w:rPr>
        <mc:AlternateContent>
          <mc:Choice Requires="wps">
            <w:drawing>
              <wp:anchor distT="0" distB="0" distL="114298" distR="114298" simplePos="0" relativeHeight="251659264" behindDoc="0" locked="0" layoutInCell="1" allowOverlap="1" wp14:anchorId="74B87E57" wp14:editId="64D3B458">
                <wp:simplePos x="0" y="0"/>
                <wp:positionH relativeFrom="column">
                  <wp:posOffset>3006089</wp:posOffset>
                </wp:positionH>
                <wp:positionV relativeFrom="paragraph">
                  <wp:posOffset>3175</wp:posOffset>
                </wp:positionV>
                <wp:extent cx="0" cy="3401695"/>
                <wp:effectExtent l="1905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01695"/>
                        </a:xfrm>
                        <a:prstGeom prst="line">
                          <a:avLst/>
                        </a:prstGeom>
                        <a:noFill/>
                        <a:ln w="3636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6.7pt,.25pt" to="236.7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" strokecolor="teal" strokeweight="1.01mm"/>
            </w:pict>
          </mc:Fallback>
        </mc:AlternateContent>
      </w:r>
    </w:p>
    <w:p w:rsidR="00781181" w:rsidRDefault="00781181" w:rsidP="00781181"/>
    <w:p w:rsidR="00781181" w:rsidRDefault="00781181" w:rsidP="00781181">
      <w:pPr>
        <w:ind w:left="1368"/>
        <w:rPr>
          <w:rFonts w:ascii="Arial" w:hAnsi="Arial"/>
          <w:sz w:val="40"/>
          <w:szCs w:val="40"/>
        </w:rPr>
      </w:pPr>
      <w:r>
        <w:rPr>
          <w:rFonts w:ascii="Arial" w:hAnsi="Arial"/>
          <w:b/>
          <w:bCs/>
          <w:sz w:val="40"/>
          <w:szCs w:val="40"/>
        </w:rPr>
        <w:t xml:space="preserve">Private Law </w:t>
      </w:r>
      <w:r>
        <w:rPr>
          <w:rFonts w:ascii="Arial" w:hAnsi="Arial"/>
          <w:sz w:val="40"/>
          <w:szCs w:val="40"/>
        </w:rPr>
        <w:t xml:space="preserve">Tutor </w:t>
      </w:r>
    </w:p>
    <w:p w:rsidR="00781181" w:rsidRDefault="00781181" w:rsidP="00781181">
      <w:pPr>
        <w:ind w:left="1830"/>
        <w:rPr>
          <w:rFonts w:ascii="Arial" w:hAnsi="Arial"/>
        </w:rPr>
      </w:pPr>
      <w:r>
        <w:rPr>
          <w:rFonts w:ascii="Arial" w:hAnsi="Arial"/>
        </w:rPr>
        <w:t xml:space="preserve">Prepare for your studies! </w:t>
      </w:r>
    </w:p>
    <w:p w:rsidR="00781181" w:rsidRDefault="00781181" w:rsidP="00781181">
      <w:pPr>
        <w:ind w:left="1830"/>
        <w:rPr>
          <w:rFonts w:ascii="Arial" w:hAnsi="Arial"/>
        </w:rPr>
      </w:pPr>
    </w:p>
    <w:p w:rsidR="00781181" w:rsidRDefault="00781181" w:rsidP="00781181">
      <w:pPr>
        <w:ind w:left="1830"/>
        <w:rPr>
          <w:rFonts w:ascii="Arial" w:hAnsi="Arial"/>
        </w:rPr>
      </w:pPr>
    </w:p>
    <w:p w:rsidR="00781181" w:rsidRDefault="00781181" w:rsidP="00781181">
      <w:pPr>
        <w:rPr>
          <w:rFonts w:ascii="Arial" w:hAnsi="Arial"/>
        </w:rPr>
      </w:pPr>
    </w:p>
    <w:p w:rsidR="00781181" w:rsidRDefault="00781181" w:rsidP="00781181">
      <w:pPr>
        <w:rPr>
          <w:rFonts w:ascii="Arial" w:hAnsi="Arial"/>
        </w:rPr>
      </w:pPr>
      <w:r>
        <w:rPr>
          <w:noProof/>
          <w:lang w:val="en-AU" w:eastAsia="en-AU"/>
        </w:rPr>
        <mc:AlternateContent>
          <mc:Choice Requires="wps">
            <w:drawing>
              <wp:anchor distT="4294967294" distB="4294967294" distL="114300" distR="114300" simplePos="0" relativeHeight="251660288" behindDoc="0" locked="0" layoutInCell="1" allowOverlap="1" wp14:anchorId="28BA8962" wp14:editId="17354048">
                <wp:simplePos x="0" y="0"/>
                <wp:positionH relativeFrom="column">
                  <wp:posOffset>67945</wp:posOffset>
                </wp:positionH>
                <wp:positionV relativeFrom="paragraph">
                  <wp:posOffset>6349</wp:posOffset>
                </wp:positionV>
                <wp:extent cx="3453765" cy="0"/>
                <wp:effectExtent l="0" t="1905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53765" cy="0"/>
                        </a:xfrm>
                        <a:prstGeom prst="line">
                          <a:avLst/>
                        </a:prstGeom>
                        <a:noFill/>
                        <a:ln w="36360">
                          <a:solidFill>
                            <a:srgbClr val="008080"/>
                          </a:solidFill>
                          <a:bevel/>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pt,.5pt" to="27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" strokecolor="teal" strokeweight="1.01mm">
                <v:stroke joinstyle="bevel"/>
              </v:line>
            </w:pict>
          </mc:Fallback>
        </mc:AlternateContent>
      </w:r>
    </w:p>
    <w:p w:rsidR="00781181" w:rsidRDefault="00781181" w:rsidP="00781181">
      <w:pPr>
        <w:rPr>
          <w:rFonts w:ascii="Arial" w:hAnsi="Arial"/>
        </w:rPr>
      </w:pPr>
    </w:p>
    <w:p w:rsidR="00781181" w:rsidRDefault="00781181" w:rsidP="00781181">
      <w:pPr>
        <w:rPr>
          <w:rFonts w:ascii="Arial" w:hAnsi="Arial"/>
        </w:rPr>
      </w:pPr>
    </w:p>
    <w:p w:rsidR="00781181" w:rsidRDefault="00781181" w:rsidP="00781181">
      <w:pPr>
        <w:rPr>
          <w:rFonts w:ascii="Arial" w:hAnsi="Arial"/>
        </w:rPr>
      </w:pPr>
    </w:p>
    <w:p w:rsidR="00781181" w:rsidRDefault="00781181" w:rsidP="00781181">
      <w:pPr>
        <w:rPr>
          <w:rFonts w:ascii="Arial" w:hAnsi="Arial"/>
        </w:rPr>
      </w:pPr>
    </w:p>
    <w:p w:rsidR="00781181" w:rsidRDefault="00781181" w:rsidP="00781181">
      <w:pPr>
        <w:jc w:val="center"/>
        <w:rPr>
          <w:rFonts w:ascii="Arial" w:hAnsi="Arial"/>
          <w:b/>
          <w:bCs/>
          <w:color w:val="C0C0C0"/>
        </w:rPr>
      </w:pPr>
      <w:r>
        <w:rPr>
          <w:rFonts w:ascii="Arial" w:hAnsi="Arial"/>
          <w:b/>
          <w:bCs/>
          <w:color w:val="C0C0C0"/>
        </w:rPr>
        <w:t>Academic Academic Academic Academic Academic</w:t>
      </w:r>
    </w:p>
    <w:p w:rsidR="00781181" w:rsidRDefault="00781181" w:rsidP="00781181">
      <w:pPr>
        <w:jc w:val="center"/>
        <w:rPr>
          <w:rFonts w:ascii="Arial" w:hAnsi="Arial"/>
          <w:b/>
          <w:bCs/>
          <w:color w:val="C0C0C0"/>
        </w:rPr>
      </w:pPr>
      <w:r>
        <w:rPr>
          <w:rFonts w:ascii="Arial" w:hAnsi="Arial"/>
          <w:b/>
          <w:bCs/>
          <w:color w:val="C0C0C0"/>
        </w:rPr>
        <w:t xml:space="preserve">Professional Professional Professional Professional </w:t>
      </w:r>
    </w:p>
    <w:p w:rsidR="00781181" w:rsidRDefault="00781181" w:rsidP="00781181">
      <w:pPr>
        <w:jc w:val="center"/>
        <w:rPr>
          <w:rFonts w:ascii="Arial" w:hAnsi="Arial"/>
          <w:b/>
          <w:bCs/>
          <w:color w:val="C0C0C0"/>
        </w:rPr>
      </w:pPr>
      <w:r>
        <w:rPr>
          <w:rFonts w:ascii="Arial" w:hAnsi="Arial"/>
          <w:b/>
          <w:bCs/>
          <w:color w:val="C0C0C0"/>
        </w:rPr>
        <w:t>Punctual Punctual Punctual Punctual Punctual</w:t>
      </w:r>
    </w:p>
    <w:p w:rsidR="00781181" w:rsidRDefault="00781181" w:rsidP="00781181">
      <w:pPr>
        <w:jc w:val="center"/>
        <w:rPr>
          <w:rFonts w:ascii="Arial" w:hAnsi="Arial"/>
          <w:b/>
          <w:bCs/>
          <w:color w:val="C0C0C0"/>
        </w:rPr>
      </w:pPr>
      <w:r>
        <w:rPr>
          <w:rFonts w:ascii="Arial" w:hAnsi="Arial"/>
          <w:b/>
          <w:bCs/>
          <w:color w:val="C0C0C0"/>
        </w:rPr>
        <w:t>Intelligent Intelligent Intelligent Intelligent Intelligent</w:t>
      </w:r>
    </w:p>
    <w:p w:rsidR="00781181" w:rsidRDefault="00781181" w:rsidP="00781181">
      <w:pPr>
        <w:jc w:val="center"/>
        <w:rPr>
          <w:rFonts w:ascii="Arial" w:hAnsi="Arial"/>
          <w:b/>
          <w:bCs/>
          <w:color w:val="C0C0C0"/>
        </w:rPr>
      </w:pPr>
      <w:r>
        <w:rPr>
          <w:rFonts w:ascii="Arial" w:hAnsi="Arial"/>
          <w:b/>
          <w:bCs/>
          <w:color w:val="C0C0C0"/>
        </w:rPr>
        <w:t>Diligent Diligent Diligent Diligent Diligent Diligent</w:t>
      </w:r>
    </w:p>
    <w:p w:rsidR="00781181" w:rsidRDefault="00781181" w:rsidP="00781181">
      <w:pPr>
        <w:rPr>
          <w:rFonts w:ascii="Times New Roman" w:hAnsi="Times New Roman"/>
        </w:rPr>
      </w:pPr>
    </w:p>
    <w:p w:rsidR="00781181" w:rsidRDefault="00781181" w:rsidP="00781181"/>
    <w:p w:rsidR="00781181" w:rsidRDefault="00781181" w:rsidP="00781181"/>
    <w:p w:rsidR="00781181" w:rsidRDefault="00781181" w:rsidP="00781181">
      <w:pPr>
        <w:jc w:val="center"/>
        <w:rPr>
          <w:rFonts w:ascii="Arial" w:hAnsi="Arial"/>
          <w:sz w:val="32"/>
          <w:szCs w:val="32"/>
        </w:rPr>
      </w:pPr>
      <w:r>
        <w:rPr>
          <w:rFonts w:ascii="Arial" w:hAnsi="Arial"/>
          <w:sz w:val="32"/>
          <w:szCs w:val="32"/>
        </w:rPr>
        <w:t xml:space="preserve">Student Assessment Response </w:t>
      </w:r>
    </w:p>
    <w:p w:rsidR="00781181" w:rsidRDefault="00781181" w:rsidP="00781181">
      <w:pPr>
        <w:jc w:val="center"/>
        <w:rPr>
          <w:rFonts w:ascii="Arial" w:hAnsi="Arial"/>
          <w:sz w:val="32"/>
          <w:szCs w:val="32"/>
        </w:rPr>
      </w:pPr>
    </w:p>
    <w:p w:rsidR="00781181" w:rsidRDefault="00781181" w:rsidP="00781181">
      <w:pPr>
        <w:jc w:val="center"/>
        <w:rPr>
          <w:rFonts w:ascii="Arial" w:hAnsi="Arial"/>
          <w:sz w:val="32"/>
          <w:szCs w:val="32"/>
        </w:rPr>
      </w:pPr>
    </w:p>
    <w:p w:rsidR="00781181" w:rsidRDefault="00781181" w:rsidP="00781181">
      <w:pPr>
        <w:jc w:val="center"/>
        <w:rPr>
          <w:rFonts w:ascii="Arial" w:hAnsi="Arial"/>
          <w:sz w:val="32"/>
          <w:szCs w:val="32"/>
        </w:rPr>
      </w:pPr>
    </w:p>
    <w:p w:rsidR="00781181" w:rsidRDefault="00781181" w:rsidP="00781181">
      <w:pPr>
        <w:jc w:val="center"/>
        <w:rPr>
          <w:rFonts w:ascii="Arial" w:hAnsi="Arial"/>
          <w:sz w:val="32"/>
          <w:szCs w:val="32"/>
        </w:rPr>
      </w:pPr>
    </w:p>
    <w:p w:rsidR="00781181" w:rsidRDefault="00781181" w:rsidP="00781181">
      <w:pPr>
        <w:jc w:val="center"/>
        <w:rPr>
          <w:rFonts w:ascii="Arial" w:hAnsi="Arial"/>
          <w:b/>
          <w:bCs/>
          <w:color w:val="FF3366"/>
          <w:sz w:val="28"/>
          <w:szCs w:val="28"/>
        </w:rPr>
      </w:pPr>
    </w:p>
    <w:p w:rsidR="00781181" w:rsidRDefault="00781181" w:rsidP="00781181">
      <w:pPr>
        <w:pStyle w:val="TableContents"/>
        <w:jc w:val="center"/>
        <w:rPr>
          <w:rFonts w:ascii="Arial" w:hAnsi="Arial"/>
          <w:b/>
          <w:bCs/>
          <w:color w:val="FF3366"/>
          <w:sz w:val="28"/>
          <w:szCs w:val="28"/>
        </w:rPr>
      </w:pPr>
      <w:r>
        <w:rPr>
          <w:rFonts w:ascii="Arial" w:hAnsi="Arial"/>
          <w:b/>
          <w:bCs/>
          <w:color w:val="FF3366"/>
          <w:sz w:val="28"/>
          <w:szCs w:val="28"/>
        </w:rPr>
        <w:lastRenderedPageBreak/>
        <w:t xml:space="preserve">Care should be taken when drawing upon the tutoring services provided in view of Academic Misconduct policies of your university. The work provided should be used as </w:t>
      </w:r>
      <w:r>
        <w:rPr>
          <w:rFonts w:ascii="Arial" w:hAnsi="Arial"/>
          <w:b/>
          <w:bCs/>
          <w:color w:val="FF3366"/>
          <w:sz w:val="28"/>
          <w:szCs w:val="28"/>
          <w:u w:val="single"/>
        </w:rPr>
        <w:t>a guide only</w:t>
      </w:r>
      <w:r>
        <w:rPr>
          <w:rFonts w:ascii="Arial" w:hAnsi="Arial"/>
          <w:b/>
          <w:bCs/>
          <w:color w:val="FF3366"/>
          <w:sz w:val="28"/>
          <w:szCs w:val="28"/>
        </w:rPr>
        <w:t>. It should not be used as a basis for final submission of any assessment tasks whatsoever.</w:t>
      </w:r>
    </w:p>
    <w:p w:rsidR="00781181" w:rsidRDefault="00781181" w:rsidP="00781181"/>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r>
        <w:rPr>
          <w:rFonts w:ascii="Garamond" w:hAnsi="Garamond"/>
          <w:sz w:val="28"/>
        </w:rPr>
        <w:lastRenderedPageBreak/>
        <w:t>Dear Student,</w:t>
      </w:r>
    </w:p>
    <w:p w:rsidR="00781181" w:rsidRDefault="00781181" w:rsidP="00781181">
      <w:pPr>
        <w:spacing w:line="360" w:lineRule="auto"/>
        <w:rPr>
          <w:rFonts w:ascii="Garamond" w:hAnsi="Garamond"/>
          <w:sz w:val="28"/>
        </w:rPr>
      </w:pPr>
      <w:r>
        <w:rPr>
          <w:rFonts w:ascii="Garamond" w:hAnsi="Garamond"/>
          <w:sz w:val="28"/>
        </w:rPr>
        <w:t xml:space="preserve">This is a well thought out essay with interesting points/comments on quite a difficult topic. Just by perusing over your essay, I can tell that you have spent some time considering in-depth what procedural issues may arise </w:t>
      </w:r>
      <w:proofErr w:type="gramStart"/>
      <w:r>
        <w:rPr>
          <w:rFonts w:ascii="Garamond" w:hAnsi="Garamond"/>
          <w:sz w:val="28"/>
        </w:rPr>
        <w:t>from a “</w:t>
      </w:r>
      <w:proofErr w:type="gramEnd"/>
      <w:r>
        <w:rPr>
          <w:rFonts w:ascii="Garamond" w:hAnsi="Garamond"/>
          <w:sz w:val="28"/>
        </w:rPr>
        <w:t>class action” litigation under the current legal paradigm. I enjoyed your discussion on opt-in/opt-out divergence, and I almost felt that you could have chosen that one point to write the whole essay – but perhaps in some more depth.</w:t>
      </w:r>
    </w:p>
    <w:p w:rsidR="00781181" w:rsidRDefault="00781181" w:rsidP="00781181">
      <w:pPr>
        <w:spacing w:line="360" w:lineRule="auto"/>
        <w:rPr>
          <w:rFonts w:ascii="Garamond" w:hAnsi="Garamond"/>
          <w:sz w:val="28"/>
        </w:rPr>
      </w:pPr>
      <w:r>
        <w:rPr>
          <w:rFonts w:ascii="Garamond" w:hAnsi="Garamond"/>
          <w:sz w:val="28"/>
        </w:rPr>
        <w:t xml:space="preserve">I thought I would share with you (briefly) three general pointers to improve your legal essay writing. </w:t>
      </w:r>
    </w:p>
    <w:p w:rsidR="00781181" w:rsidRDefault="00781181" w:rsidP="00781181">
      <w:pPr>
        <w:numPr>
          <w:ilvl w:val="0"/>
          <w:numId w:val="1"/>
        </w:numPr>
        <w:spacing w:line="360" w:lineRule="auto"/>
        <w:rPr>
          <w:rFonts w:ascii="Garamond" w:hAnsi="Garamond"/>
          <w:sz w:val="28"/>
        </w:rPr>
      </w:pPr>
      <w:r>
        <w:rPr>
          <w:rFonts w:ascii="Garamond" w:hAnsi="Garamond"/>
          <w:sz w:val="28"/>
        </w:rPr>
        <w:t xml:space="preserve">Firstly, I think you could certainly make your essay clearer by using the paragraphs more effectively. As you will be able to see below, I have shifted a lot of your paragraphs around. The reason is that (a) you appear to use unnecessary amounts of segue – connecting one paragraph to the next. The result appears to be that you have one message in two separate paragraphs. The other reason is that (b) you could use the paragraphs to more effectively separate your critical analysis (i.e. pros vs. cons or for vs. against on separate paragraphs). </w:t>
      </w:r>
    </w:p>
    <w:p w:rsidR="00781181" w:rsidRDefault="00781181" w:rsidP="00781181">
      <w:pPr>
        <w:numPr>
          <w:ilvl w:val="0"/>
          <w:numId w:val="1"/>
        </w:numPr>
        <w:spacing w:line="360" w:lineRule="auto"/>
        <w:rPr>
          <w:rFonts w:ascii="Garamond" w:hAnsi="Garamond"/>
          <w:sz w:val="28"/>
        </w:rPr>
      </w:pPr>
      <w:r>
        <w:rPr>
          <w:rFonts w:ascii="Garamond" w:hAnsi="Garamond"/>
          <w:sz w:val="28"/>
        </w:rPr>
        <w:t xml:space="preserve">Secondly, although this is a relatively short essay requiring the main crux of the essay to be at the critical analysis part, that doesn’t mean you should skip over basic foundations/skeletons of your essay – i.e. the basic law, the policy justification for the law (as evinced by second reading speeches), etc. If you set this foundation strong, it would be easier at the critical analysis part. </w:t>
      </w:r>
    </w:p>
    <w:p w:rsidR="00781181" w:rsidRPr="001457FE" w:rsidRDefault="00781181" w:rsidP="00781181">
      <w:pPr>
        <w:numPr>
          <w:ilvl w:val="0"/>
          <w:numId w:val="1"/>
        </w:numPr>
        <w:spacing w:line="360" w:lineRule="auto"/>
        <w:rPr>
          <w:rFonts w:ascii="Garamond" w:hAnsi="Garamond"/>
          <w:sz w:val="28"/>
        </w:rPr>
      </w:pPr>
      <w:r>
        <w:rPr>
          <w:rFonts w:ascii="Garamond" w:hAnsi="Garamond"/>
          <w:sz w:val="28"/>
        </w:rPr>
        <w:t xml:space="preserve">Thirdly, I think you can improve significantly if you cut your sentences in half or a third – and let each portions be separate sentences. Short, succinct sentences are almost always more powerful. </w:t>
      </w:r>
      <w:r>
        <w:rPr>
          <w:rFonts w:ascii="Garamond" w:hAnsi="Garamond"/>
          <w:sz w:val="28"/>
        </w:rPr>
        <w:lastRenderedPageBreak/>
        <w:t xml:space="preserve">This will also mean that you will not use terms like “therefore” as often as you have per sentence – and when you use it, it will be more powerful for the reader. </w:t>
      </w:r>
    </w:p>
    <w:p w:rsidR="00781181" w:rsidRDefault="00781181" w:rsidP="00781181">
      <w:pPr>
        <w:spacing w:line="360" w:lineRule="auto"/>
        <w:rPr>
          <w:rFonts w:ascii="Garamond" w:hAnsi="Garamond"/>
          <w:sz w:val="28"/>
        </w:rPr>
      </w:pPr>
      <w:r>
        <w:rPr>
          <w:rFonts w:ascii="Garamond" w:hAnsi="Garamond"/>
          <w:sz w:val="28"/>
        </w:rPr>
        <w:t xml:space="preserve">I wish you well with your studies – and do let us know if there is anything we can assist you with to achieve your goals. </w:t>
      </w:r>
    </w:p>
    <w:p w:rsidR="00781181" w:rsidRDefault="00781181" w:rsidP="00781181">
      <w:pPr>
        <w:spacing w:after="0"/>
        <w:rPr>
          <w:rFonts w:ascii="Garamond" w:hAnsi="Garamond"/>
          <w:sz w:val="20"/>
        </w:rPr>
      </w:pPr>
      <w:r>
        <w:rPr>
          <w:rFonts w:ascii="Garamond" w:hAnsi="Garamond"/>
          <w:sz w:val="28"/>
        </w:rPr>
        <w:t xml:space="preserve">SJ Cho </w:t>
      </w:r>
      <w:r w:rsidRPr="00134E7C">
        <w:rPr>
          <w:rFonts w:ascii="Garamond" w:hAnsi="Garamond"/>
          <w:sz w:val="20"/>
        </w:rPr>
        <w:t>BPharm (Hons.)</w:t>
      </w:r>
      <w:r>
        <w:rPr>
          <w:rFonts w:ascii="Garamond" w:hAnsi="Garamond"/>
          <w:sz w:val="20"/>
        </w:rPr>
        <w:t>,</w:t>
      </w:r>
      <w:r w:rsidRPr="00134E7C">
        <w:rPr>
          <w:rFonts w:ascii="Garamond" w:hAnsi="Garamond"/>
          <w:sz w:val="20"/>
        </w:rPr>
        <w:t xml:space="preserve"> M.P.S</w:t>
      </w:r>
      <w:r>
        <w:rPr>
          <w:rFonts w:ascii="Garamond" w:hAnsi="Garamond"/>
          <w:sz w:val="20"/>
        </w:rPr>
        <w:t>,</w:t>
      </w:r>
      <w:r w:rsidRPr="00134E7C">
        <w:rPr>
          <w:rFonts w:ascii="Garamond" w:hAnsi="Garamond"/>
          <w:sz w:val="20"/>
        </w:rPr>
        <w:t xml:space="preserve"> JD (Hons.)</w:t>
      </w:r>
    </w:p>
    <w:p w:rsidR="00781181" w:rsidRDefault="00781181" w:rsidP="00781181">
      <w:pPr>
        <w:spacing w:after="0"/>
        <w:rPr>
          <w:rFonts w:ascii="Garamond" w:hAnsi="Garamond"/>
          <w:sz w:val="28"/>
        </w:rPr>
      </w:pPr>
      <w:r>
        <w:rPr>
          <w:rFonts w:ascii="Garamond" w:hAnsi="Garamond"/>
          <w:sz w:val="20"/>
        </w:rPr>
        <w:t>Private Law Tutor</w:t>
      </w: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Default="00781181" w:rsidP="00781181">
      <w:pPr>
        <w:spacing w:line="360" w:lineRule="auto"/>
        <w:rPr>
          <w:rFonts w:ascii="Garamond" w:hAnsi="Garamond"/>
          <w:sz w:val="28"/>
        </w:rPr>
      </w:pPr>
    </w:p>
    <w:p w:rsidR="00781181" w:rsidRPr="00ED529A" w:rsidRDefault="00781181" w:rsidP="00781181">
      <w:pPr>
        <w:spacing w:line="360" w:lineRule="auto"/>
        <w:rPr>
          <w:rFonts w:ascii="Garamond" w:hAnsi="Garamond"/>
          <w:sz w:val="28"/>
        </w:rPr>
      </w:pPr>
      <w:r>
        <w:rPr>
          <w:b/>
          <w:sz w:val="28"/>
          <w:u w:val="single"/>
        </w:rPr>
        <w:lastRenderedPageBreak/>
        <w:t>Introduction</w:t>
      </w:r>
    </w:p>
    <w:p w:rsidR="00781181" w:rsidRPr="00E750FF" w:rsidRDefault="00781181" w:rsidP="00781181">
      <w:pPr>
        <w:spacing w:line="360" w:lineRule="auto"/>
        <w:rPr>
          <w:color w:val="FF0000"/>
        </w:rPr>
      </w:pPr>
      <w:r>
        <w:rPr>
          <w:color w:val="FF0000"/>
        </w:rPr>
        <w:t xml:space="preserve">A representative proceeding </w:t>
      </w:r>
      <w:commentRangeStart w:id="0"/>
      <w:r w:rsidRPr="00660A32">
        <w:rPr>
          <w:strike/>
        </w:rPr>
        <w:t>class action</w:t>
      </w:r>
      <w:r>
        <w:rPr>
          <w:color w:val="FF0000"/>
        </w:rPr>
        <w:t xml:space="preserve"> </w:t>
      </w:r>
      <w:commentRangeEnd w:id="0"/>
      <w:r>
        <w:rPr>
          <w:rStyle w:val="CommentReference"/>
        </w:rPr>
        <w:commentReference w:id="0"/>
      </w:r>
      <w:r>
        <w:rPr>
          <w:color w:val="FF0000"/>
        </w:rPr>
        <w:t>in civil litigation</w:t>
      </w:r>
      <w:r>
        <w:t xml:space="preserve"> </w:t>
      </w:r>
      <w:r>
        <w:rPr>
          <w:color w:val="FF0000"/>
        </w:rPr>
        <w:t>procedure allows the claims of many individuals against same defendant to be brought or conducted by a single representative.</w:t>
      </w:r>
      <w:r>
        <w:rPr>
          <w:rStyle w:val="FootnoteReference"/>
          <w:color w:val="FF0000"/>
        </w:rPr>
        <w:footnoteReference w:id="1"/>
      </w:r>
      <w:r>
        <w:t xml:space="preserve"> </w:t>
      </w:r>
      <w:proofErr w:type="gramStart"/>
      <w:r w:rsidRPr="00365776">
        <w:rPr>
          <w:strike/>
        </w:rPr>
        <w:t>allow</w:t>
      </w:r>
      <w:proofErr w:type="gramEnd"/>
      <w:r w:rsidRPr="00365776">
        <w:rPr>
          <w:strike/>
        </w:rPr>
        <w:t xml:space="preserve"> individuals to combine their claim with a class of people who have bee</w:t>
      </w:r>
      <w:r>
        <w:rPr>
          <w:strike/>
        </w:rPr>
        <w:t xml:space="preserve">n harmed by the same defendant. </w:t>
      </w:r>
      <w:r>
        <w:rPr>
          <w:color w:val="FF0000"/>
        </w:rPr>
        <w:t>In Australia, such proceeding was initially available under equity, which was later subject to law reform</w:t>
      </w:r>
      <w:r>
        <w:rPr>
          <w:rStyle w:val="FootnoteReference"/>
          <w:color w:val="FF0000"/>
        </w:rPr>
        <w:footnoteReference w:id="2"/>
      </w:r>
      <w:r>
        <w:rPr>
          <w:color w:val="FF0000"/>
        </w:rPr>
        <w:t xml:space="preserve"> and consequently legislated.</w:t>
      </w:r>
      <w:r>
        <w:rPr>
          <w:rStyle w:val="FootnoteReference"/>
          <w:color w:val="FF0000"/>
        </w:rPr>
        <w:footnoteReference w:id="3"/>
      </w:r>
      <w:r>
        <w:rPr>
          <w:color w:val="FF0000"/>
        </w:rPr>
        <w:t xml:space="preserve"> Policies of access to justice and efficiencies in terms of costs and court time were considered by the ALRC and the legislature as overriding drivers in making this form of litigation available in civil suits. </w:t>
      </w:r>
      <w:r w:rsidRPr="00544380">
        <w:rPr>
          <w:strike/>
        </w:rPr>
        <w:t>Thus, there is potential to alleviate some financial and emotional hardship associated with private litigation.</w:t>
      </w:r>
      <w:r>
        <w:t xml:space="preserve"> </w:t>
      </w:r>
      <w:r>
        <w:rPr>
          <w:color w:val="FF0000"/>
        </w:rPr>
        <w:t xml:space="preserve">Despite law reform, there are nevertheless procedural difficulties when a representative proceeding is invoked. </w:t>
      </w:r>
      <w:r>
        <w:t xml:space="preserve">The aim of this essay is to critically discuss </w:t>
      </w:r>
      <w:r w:rsidRPr="00544380">
        <w:rPr>
          <w:color w:val="FF0000"/>
        </w:rPr>
        <w:t>these</w:t>
      </w:r>
      <w:r>
        <w:t xml:space="preserve"> procedural difficulties </w:t>
      </w:r>
      <w:r w:rsidRPr="00544380">
        <w:rPr>
          <w:strike/>
        </w:rPr>
        <w:t>experienced class actions</w:t>
      </w:r>
      <w:r>
        <w:t>. This discussion will begin by defining what a class action is. The essay will then analyse two controversial aspects of class action</w:t>
      </w:r>
      <w:r w:rsidRPr="00544380">
        <w:rPr>
          <w:color w:val="FF0000"/>
        </w:rPr>
        <w:t>:</w:t>
      </w:r>
      <w:r>
        <w:t xml:space="preserve"> </w:t>
      </w:r>
      <w:r w:rsidRPr="00544380">
        <w:rPr>
          <w:color w:val="FF0000"/>
        </w:rPr>
        <w:t xml:space="preserve">(1) </w:t>
      </w:r>
      <w:r>
        <w:t xml:space="preserve">the </w:t>
      </w:r>
      <w:r w:rsidRPr="00544380">
        <w:rPr>
          <w:color w:val="FF0000"/>
        </w:rPr>
        <w:t>“</w:t>
      </w:r>
      <w:r>
        <w:t>opting out</w:t>
      </w:r>
      <w:r w:rsidRPr="00544380">
        <w:rPr>
          <w:color w:val="FF0000"/>
        </w:rPr>
        <w:t>”</w:t>
      </w:r>
      <w:r>
        <w:t xml:space="preserve"> procedure</w:t>
      </w:r>
      <w:r w:rsidRPr="00544380">
        <w:rPr>
          <w:color w:val="FF0000"/>
        </w:rPr>
        <w:t>;</w:t>
      </w:r>
      <w:r>
        <w:t xml:space="preserve"> and </w:t>
      </w:r>
      <w:r w:rsidRPr="00544380">
        <w:rPr>
          <w:color w:val="FF0000"/>
        </w:rPr>
        <w:t>(2)</w:t>
      </w:r>
      <w:r>
        <w:t xml:space="preserve"> the </w:t>
      </w:r>
      <w:r>
        <w:rPr>
          <w:color w:val="FF0000"/>
        </w:rPr>
        <w:t>court’s ability to strike out a representative proceeding when persuaded by the defendant.</w:t>
      </w:r>
      <w:r>
        <w:t xml:space="preserve"> </w:t>
      </w:r>
      <w:proofErr w:type="gramStart"/>
      <w:r w:rsidRPr="008E3783">
        <w:rPr>
          <w:strike/>
        </w:rPr>
        <w:t>defendant’s</w:t>
      </w:r>
      <w:proofErr w:type="gramEnd"/>
      <w:r w:rsidRPr="008E3783">
        <w:rPr>
          <w:strike/>
        </w:rPr>
        <w:t xml:space="preserve"> ability to have the court strike the claim out</w:t>
      </w:r>
      <w:r>
        <w:t xml:space="preserve">. It will be asserted that </w:t>
      </w:r>
      <w:r>
        <w:rPr>
          <w:color w:val="FF0000"/>
        </w:rPr>
        <w:t xml:space="preserve">despite inherent procedural difficulties, </w:t>
      </w:r>
      <w:r>
        <w:t xml:space="preserve">the </w:t>
      </w:r>
      <w:r>
        <w:rPr>
          <w:color w:val="FF0000"/>
        </w:rPr>
        <w:t>“</w:t>
      </w:r>
      <w:r>
        <w:t>opting out</w:t>
      </w:r>
      <w:r w:rsidRPr="008E3783">
        <w:rPr>
          <w:color w:val="FF0000"/>
        </w:rPr>
        <w:t>”</w:t>
      </w:r>
      <w:r>
        <w:t xml:space="preserve"> procedure, </w:t>
      </w:r>
      <w:r w:rsidRPr="008E3783">
        <w:rPr>
          <w:strike/>
        </w:rPr>
        <w:t>despite some procedural difficulties</w:t>
      </w:r>
      <w:r w:rsidRPr="008E3783">
        <w:t>, when</w:t>
      </w:r>
      <w:r>
        <w:t xml:space="preserve"> compared to the </w:t>
      </w:r>
      <w:r>
        <w:rPr>
          <w:color w:val="FF0000"/>
        </w:rPr>
        <w:t>alternative “opting in” procedure adhered to in the American legal system,</w:t>
      </w:r>
      <w:r>
        <w:t xml:space="preserve"> </w:t>
      </w:r>
      <w:r w:rsidRPr="008E3783">
        <w:rPr>
          <w:strike/>
        </w:rPr>
        <w:t>American class action system</w:t>
      </w:r>
      <w:r>
        <w:t xml:space="preserve"> is</w:t>
      </w:r>
      <w:r>
        <w:rPr>
          <w:color w:val="FF0000"/>
        </w:rPr>
        <w:t xml:space="preserve"> better geared to achieving a more reasonable and flexible result for the plaintiffs. </w:t>
      </w:r>
      <w:proofErr w:type="gramStart"/>
      <w:r w:rsidRPr="008E3783">
        <w:rPr>
          <w:strike/>
        </w:rPr>
        <w:t>reasonably</w:t>
      </w:r>
      <w:proofErr w:type="gramEnd"/>
      <w:r w:rsidRPr="008E3783">
        <w:rPr>
          <w:strike/>
        </w:rPr>
        <w:t xml:space="preserve"> flexible for the plaintiff.</w:t>
      </w:r>
      <w:r>
        <w:t xml:space="preserve"> However, the </w:t>
      </w:r>
      <w:r w:rsidRPr="008E3783">
        <w:rPr>
          <w:color w:val="FF0000"/>
        </w:rPr>
        <w:t>“</w:t>
      </w:r>
      <w:r>
        <w:t>striking out</w:t>
      </w:r>
      <w:r w:rsidRPr="008E3783">
        <w:rPr>
          <w:color w:val="FF0000"/>
        </w:rPr>
        <w:t>”</w:t>
      </w:r>
      <w:r>
        <w:t xml:space="preserve"> procedure will be concluded as </w:t>
      </w:r>
      <w:r w:rsidRPr="008E3783">
        <w:rPr>
          <w:strike/>
        </w:rPr>
        <w:t>having</w:t>
      </w:r>
      <w:r>
        <w:t xml:space="preserve"> </w:t>
      </w:r>
      <w:r w:rsidRPr="00E750FF">
        <w:rPr>
          <w:color w:val="FF0000"/>
        </w:rPr>
        <w:t>(</w:t>
      </w:r>
      <w:r>
        <w:rPr>
          <w:color w:val="FF0000"/>
        </w:rPr>
        <w:t xml:space="preserve">possibly) causing </w:t>
      </w:r>
      <w:r>
        <w:t>significant procedural difficult</w:t>
      </w:r>
      <w:r w:rsidRPr="008E3783">
        <w:rPr>
          <w:color w:val="FF0000"/>
        </w:rPr>
        <w:t>ies</w:t>
      </w:r>
      <w:r>
        <w:t xml:space="preserve"> for </w:t>
      </w:r>
      <w:r w:rsidRPr="008E3783">
        <w:rPr>
          <w:strike/>
        </w:rPr>
        <w:t xml:space="preserve">the </w:t>
      </w:r>
      <w:r>
        <w:t>plaintiff</w:t>
      </w:r>
      <w:r w:rsidRPr="008E3783">
        <w:rPr>
          <w:color w:val="FF0000"/>
        </w:rPr>
        <w:t>s</w:t>
      </w:r>
      <w:r>
        <w:rPr>
          <w:color w:val="FF0000"/>
        </w:rPr>
        <w:t xml:space="preserve"> due to the </w:t>
      </w:r>
      <w:r w:rsidRPr="00E750FF">
        <w:rPr>
          <w:strike/>
        </w:rPr>
        <w:t>because of the</w:t>
      </w:r>
      <w:r>
        <w:t xml:space="preserve"> broad wording </w:t>
      </w:r>
      <w:r>
        <w:rPr>
          <w:color w:val="FF0000"/>
        </w:rPr>
        <w:t xml:space="preserve">of the legislation that fails to consider the possibility of plaintiffs being essentially struck out from a proceeding, </w:t>
      </w:r>
      <w:r w:rsidRPr="00E750FF">
        <w:rPr>
          <w:strike/>
        </w:rPr>
        <w:t xml:space="preserve">that enables the plaintiff to defeat </w:t>
      </w:r>
      <w:r w:rsidRPr="00E750FF">
        <w:rPr>
          <w:strike/>
        </w:rPr>
        <w:lastRenderedPageBreak/>
        <w:t>their claim and potentially leave the plaintiff</w:t>
      </w:r>
      <w:r>
        <w:t xml:space="preserve"> without any hope of a remedy for their harm. </w:t>
      </w:r>
    </w:p>
    <w:p w:rsidR="00781181" w:rsidRDefault="00781181" w:rsidP="00781181">
      <w:pPr>
        <w:spacing w:line="360" w:lineRule="auto"/>
        <w:rPr>
          <w:sz w:val="28"/>
        </w:rPr>
      </w:pPr>
      <w:r>
        <w:rPr>
          <w:b/>
          <w:sz w:val="28"/>
          <w:u w:val="single"/>
        </w:rPr>
        <w:t xml:space="preserve">1) What is </w:t>
      </w:r>
      <w:r w:rsidRPr="00E750FF">
        <w:rPr>
          <w:b/>
          <w:color w:val="FF0000"/>
          <w:sz w:val="28"/>
          <w:u w:val="single"/>
        </w:rPr>
        <w:t>a Representative Proceeding or</w:t>
      </w:r>
      <w:r>
        <w:rPr>
          <w:b/>
          <w:sz w:val="28"/>
          <w:u w:val="single"/>
        </w:rPr>
        <w:t xml:space="preserve"> a “Class Action”?</w:t>
      </w:r>
    </w:p>
    <w:p w:rsidR="00781181" w:rsidRDefault="00781181" w:rsidP="00781181">
      <w:pPr>
        <w:spacing w:line="360" w:lineRule="auto"/>
      </w:pPr>
      <w:r>
        <w:t>A class action is the representation of a group of people with a common grievance against a party that has caused them harm.</w:t>
      </w:r>
      <w:r>
        <w:rPr>
          <w:rStyle w:val="FootnoteReference"/>
        </w:rPr>
        <w:footnoteReference w:id="4"/>
      </w:r>
      <w:r>
        <w:t xml:space="preserve"> Introduced in Victoria as of 2000, class actions are a more affordable means of representation because of the sharing of costs amongst parties as compared to the burdens of independent litigation.</w:t>
      </w:r>
      <w:commentRangeStart w:id="1"/>
      <w:r>
        <w:rPr>
          <w:rStyle w:val="FootnoteReference"/>
        </w:rPr>
        <w:footnoteReference w:id="5"/>
      </w:r>
      <w:commentRangeEnd w:id="1"/>
      <w:r>
        <w:rPr>
          <w:rStyle w:val="CommentReference"/>
        </w:rPr>
        <w:commentReference w:id="1"/>
      </w:r>
      <w:r>
        <w:t xml:space="preserve"> </w:t>
      </w:r>
      <w:commentRangeStart w:id="2"/>
      <w:r>
        <w:t>The extremely popular movement saw lawyers advertise this service in mainstream media such as newspapers and radio on a no win, no fee basis.</w:t>
      </w:r>
      <w:r>
        <w:rPr>
          <w:rStyle w:val="FootnoteReference"/>
        </w:rPr>
        <w:footnoteReference w:id="6"/>
      </w:r>
      <w:r>
        <w:t xml:space="preserve"> Class actions have multiple names because of the various types of claims that are actionable against a defendant.</w:t>
      </w:r>
      <w:r>
        <w:rPr>
          <w:rStyle w:val="FootnoteReference"/>
        </w:rPr>
        <w:footnoteReference w:id="7"/>
      </w:r>
      <w:r>
        <w:t xml:space="preserve"> </w:t>
      </w:r>
    </w:p>
    <w:p w:rsidR="00781181" w:rsidRDefault="00781181" w:rsidP="00781181">
      <w:pPr>
        <w:spacing w:line="360" w:lineRule="auto"/>
      </w:pPr>
    </w:p>
    <w:p w:rsidR="00781181" w:rsidRDefault="00781181" w:rsidP="00781181">
      <w:pPr>
        <w:spacing w:line="360" w:lineRule="auto"/>
      </w:pPr>
      <w:r>
        <w:t>Cashman explains that the ubiquitous labeling of class actions is attributed to the various mechanisms that are available to plaintiffs under this scheme.</w:t>
      </w:r>
      <w:r>
        <w:rPr>
          <w:rStyle w:val="FootnoteReference"/>
        </w:rPr>
        <w:footnoteReference w:id="8"/>
      </w:r>
      <w:r>
        <w:t xml:space="preserve">  </w:t>
      </w:r>
      <w:commentRangeEnd w:id="2"/>
      <w:r>
        <w:rPr>
          <w:rStyle w:val="CommentReference"/>
        </w:rPr>
        <w:commentReference w:id="2"/>
      </w:r>
    </w:p>
    <w:p w:rsidR="00781181" w:rsidRDefault="00781181" w:rsidP="00781181">
      <w:pPr>
        <w:spacing w:line="360" w:lineRule="auto"/>
      </w:pPr>
      <w:r>
        <w:t xml:space="preserve">Individuals wishing not to be involved, </w:t>
      </w:r>
      <w:r w:rsidRPr="00C03F10">
        <w:rPr>
          <w:strike/>
        </w:rPr>
        <w:t xml:space="preserve">perhaps because of not wanting to be bound by a group decision, </w:t>
      </w:r>
      <w:r>
        <w:t xml:space="preserve">may “opt out” of the class action </w:t>
      </w:r>
      <w:r w:rsidRPr="00C03F10">
        <w:rPr>
          <w:strike/>
        </w:rPr>
        <w:t>since</w:t>
      </w:r>
      <w:r w:rsidRPr="00C03F10">
        <w:t xml:space="preserve"> </w:t>
      </w:r>
      <w:r w:rsidRPr="00C03F10">
        <w:rPr>
          <w:color w:val="FF0000"/>
        </w:rPr>
        <w:t>because</w:t>
      </w:r>
      <w:r>
        <w:t xml:space="preserve"> consent is not required for that person to be grouped amongst the class </w:t>
      </w:r>
      <w:r w:rsidRPr="00C03F10">
        <w:rPr>
          <w:color w:val="FF0000"/>
        </w:rPr>
        <w:t>in the proceeding</w:t>
      </w:r>
      <w:r>
        <w:t>.</w:t>
      </w:r>
      <w:r>
        <w:rPr>
          <w:rStyle w:val="FootnoteReference"/>
        </w:rPr>
        <w:footnoteReference w:id="9"/>
      </w:r>
      <w:r>
        <w:t xml:space="preserve"> For a class action to be formed, the law sets out </w:t>
      </w:r>
      <w:r w:rsidRPr="00C03F10">
        <w:rPr>
          <w:color w:val="FF0000"/>
        </w:rPr>
        <w:t>the</w:t>
      </w:r>
      <w:r>
        <w:t xml:space="preserve"> criteria that must be met for </w:t>
      </w:r>
      <w:r w:rsidRPr="00C03F10">
        <w:rPr>
          <w:color w:val="FF0000"/>
        </w:rPr>
        <w:t>its existence</w:t>
      </w:r>
      <w:r>
        <w:rPr>
          <w:color w:val="FF0000"/>
        </w:rPr>
        <w:t>.</w:t>
      </w:r>
      <w:r>
        <w:t xml:space="preserve"> </w:t>
      </w:r>
      <w:proofErr w:type="gramStart"/>
      <w:r w:rsidRPr="00C03F10">
        <w:rPr>
          <w:strike/>
        </w:rPr>
        <w:t>this</w:t>
      </w:r>
      <w:proofErr w:type="gramEnd"/>
      <w:r w:rsidRPr="00C03F10">
        <w:rPr>
          <w:strike/>
        </w:rPr>
        <w:t xml:space="preserve"> to exist</w:t>
      </w:r>
      <w:r>
        <w:t>.</w:t>
      </w:r>
      <w:r>
        <w:rPr>
          <w:rStyle w:val="FootnoteReference"/>
        </w:rPr>
        <w:footnoteReference w:id="10"/>
      </w:r>
      <w:r>
        <w:t xml:space="preserve"> However, </w:t>
      </w:r>
      <w:r>
        <w:rPr>
          <w:color w:val="FF0000"/>
        </w:rPr>
        <w:t xml:space="preserve">as it will not be considered in depth, </w:t>
      </w:r>
      <w:r>
        <w:t xml:space="preserve">the opting out and longevity of a class action characterises some of the procedural difficulties that may arise. </w:t>
      </w:r>
    </w:p>
    <w:p w:rsidR="00781181" w:rsidRDefault="00781181" w:rsidP="00781181">
      <w:pPr>
        <w:spacing w:line="360" w:lineRule="auto"/>
        <w:rPr>
          <w:b/>
          <w:sz w:val="28"/>
          <w:u w:val="single"/>
        </w:rPr>
      </w:pPr>
    </w:p>
    <w:p w:rsidR="00781181" w:rsidRPr="0083174A" w:rsidRDefault="00781181" w:rsidP="00781181">
      <w:pPr>
        <w:spacing w:line="360" w:lineRule="auto"/>
        <w:rPr>
          <w:b/>
          <w:sz w:val="28"/>
          <w:u w:val="single"/>
        </w:rPr>
      </w:pPr>
      <w:r w:rsidRPr="0083174A">
        <w:rPr>
          <w:b/>
          <w:sz w:val="28"/>
          <w:u w:val="single"/>
        </w:rPr>
        <w:t xml:space="preserve">2. </w:t>
      </w:r>
      <w:r>
        <w:rPr>
          <w:b/>
          <w:sz w:val="28"/>
          <w:u w:val="single"/>
        </w:rPr>
        <w:t>To opt in or out?</w:t>
      </w:r>
    </w:p>
    <w:p w:rsidR="00781181" w:rsidRDefault="00781181" w:rsidP="00781181">
      <w:pPr>
        <w:spacing w:line="360" w:lineRule="auto"/>
      </w:pPr>
      <w:r w:rsidRPr="00C03F10">
        <w:rPr>
          <w:strike/>
        </w:rPr>
        <w:t>According to Morabito</w:t>
      </w:r>
      <w:r w:rsidRPr="00C03F10">
        <w:rPr>
          <w:color w:val="FF0000"/>
        </w:rPr>
        <w:t xml:space="preserve"> </w:t>
      </w:r>
      <w:proofErr w:type="gramStart"/>
      <w:r>
        <w:rPr>
          <w:color w:val="FF0000"/>
        </w:rPr>
        <w:t>In</w:t>
      </w:r>
      <w:proofErr w:type="gramEnd"/>
      <w:r>
        <w:rPr>
          <w:color w:val="FF0000"/>
        </w:rPr>
        <w:t xml:space="preserve"> Australia, the class action proceeds as an action on behalf of all persons claimed to be represented until a person decides that he or she does not want to be covered or alternatively, that he or she will participate as a party.</w:t>
      </w:r>
      <w:r>
        <w:rPr>
          <w:rStyle w:val="FootnoteReference"/>
          <w:color w:val="FF0000"/>
        </w:rPr>
        <w:footnoteReference w:id="11"/>
      </w:r>
      <w:r>
        <w:rPr>
          <w:color w:val="FF0000"/>
        </w:rPr>
        <w:t xml:space="preserve"> This can be compared to America where </w:t>
      </w:r>
      <w:proofErr w:type="gramStart"/>
      <w:r>
        <w:rPr>
          <w:color w:val="FF0000"/>
        </w:rPr>
        <w:t>an opt</w:t>
      </w:r>
      <w:proofErr w:type="gramEnd"/>
      <w:r>
        <w:rPr>
          <w:color w:val="FF0000"/>
        </w:rPr>
        <w:t>- in system is used, where a person only becomes one of the represented parties if he or she makes a deliberate decision to be counted amongst those represented.</w:t>
      </w:r>
      <w:r>
        <w:rPr>
          <w:rStyle w:val="FootnoteReference"/>
        </w:rPr>
        <w:footnoteReference w:id="12"/>
      </w:r>
      <w:r>
        <w:rPr>
          <w:color w:val="FF0000"/>
        </w:rPr>
        <w:t xml:space="preserve">  </w:t>
      </w:r>
      <w:proofErr w:type="gramStart"/>
      <w:r w:rsidRPr="00C301F9">
        <w:rPr>
          <w:strike/>
        </w:rPr>
        <w:t>makes</w:t>
      </w:r>
      <w:proofErr w:type="gramEnd"/>
      <w:r w:rsidRPr="00C301F9">
        <w:rPr>
          <w:strike/>
        </w:rPr>
        <w:t xml:space="preserve"> no stipulation that requires a party to expressly be included amongst a class action</w:t>
      </w:r>
      <w:r w:rsidRPr="00C301F9">
        <w:rPr>
          <w:rStyle w:val="FootnoteReference"/>
          <w:strike/>
        </w:rPr>
        <w:footnoteReference w:id="13"/>
      </w:r>
      <w:r w:rsidRPr="00C301F9">
        <w:rPr>
          <w:strike/>
        </w:rPr>
        <w:t xml:space="preserve"> while in America there is.</w:t>
      </w:r>
      <w:r>
        <w:t xml:space="preserve"> </w:t>
      </w:r>
    </w:p>
    <w:p w:rsidR="00781181" w:rsidRDefault="00781181" w:rsidP="00781181">
      <w:pPr>
        <w:spacing w:line="360" w:lineRule="auto"/>
        <w:rPr>
          <w:color w:val="FF0000"/>
        </w:rPr>
      </w:pPr>
      <w:r w:rsidRPr="001818A9">
        <w:rPr>
          <w:color w:val="FF0000"/>
        </w:rPr>
        <w:t>On the one hand,</w:t>
      </w:r>
      <w:r>
        <w:t xml:space="preserve"> Coffee states </w:t>
      </w:r>
      <w:r w:rsidRPr="001818A9">
        <w:rPr>
          <w:color w:val="FF0000"/>
        </w:rPr>
        <w:t xml:space="preserve">that </w:t>
      </w:r>
      <w:r>
        <w:t>an Australian type of opting- out mechanism can result in “opportunistic” opting out</w:t>
      </w:r>
      <w:r>
        <w:rPr>
          <w:color w:val="FF0000"/>
        </w:rPr>
        <w:t>; this is</w:t>
      </w:r>
      <w:r>
        <w:t xml:space="preserve"> where </w:t>
      </w:r>
      <w:r>
        <w:rPr>
          <w:color w:val="FF0000"/>
        </w:rPr>
        <w:t xml:space="preserve">members to </w:t>
      </w:r>
      <w:r>
        <w:t xml:space="preserve">parties abandon the </w:t>
      </w:r>
      <w:r w:rsidRPr="00C301F9">
        <w:rPr>
          <w:color w:val="FF0000"/>
        </w:rPr>
        <w:t>class</w:t>
      </w:r>
      <w:r>
        <w:t xml:space="preserve"> action if </w:t>
      </w:r>
      <w:r w:rsidRPr="00C301F9">
        <w:rPr>
          <w:color w:val="FF0000"/>
        </w:rPr>
        <w:t>and when</w:t>
      </w:r>
      <w:r>
        <w:t xml:space="preserve"> they learn of the claim as being eventually unsuccessful or </w:t>
      </w:r>
      <w:r>
        <w:rPr>
          <w:color w:val="FF0000"/>
        </w:rPr>
        <w:t xml:space="preserve">otherwise </w:t>
      </w:r>
      <w:r>
        <w:t>more profitable if pursued independently.</w:t>
      </w:r>
      <w:r>
        <w:rPr>
          <w:rStyle w:val="FootnoteReference"/>
        </w:rPr>
        <w:footnoteReference w:id="14"/>
      </w:r>
      <w:r>
        <w:t xml:space="preserve"> Furthermore, </w:t>
      </w:r>
      <w:r w:rsidRPr="00C301F9">
        <w:rPr>
          <w:strike/>
        </w:rPr>
        <w:t>he</w:t>
      </w:r>
      <w:r>
        <w:t xml:space="preserve"> </w:t>
      </w:r>
      <w:r>
        <w:rPr>
          <w:color w:val="FF0000"/>
        </w:rPr>
        <w:t xml:space="preserve">Coffee </w:t>
      </w:r>
      <w:r>
        <w:t xml:space="preserve">asserts that </w:t>
      </w:r>
      <w:r>
        <w:rPr>
          <w:color w:val="FF0000"/>
        </w:rPr>
        <w:t>contrary to an “opt-out”</w:t>
      </w:r>
      <w:r>
        <w:t xml:space="preserve">, an “opt-in” </w:t>
      </w:r>
      <w:r w:rsidRPr="001933E4">
        <w:rPr>
          <w:color w:val="FF0000"/>
        </w:rPr>
        <w:t>system</w:t>
      </w:r>
      <w:r>
        <w:rPr>
          <w:color w:val="FF0000"/>
        </w:rPr>
        <w:t xml:space="preserve"> as used in America</w:t>
      </w:r>
      <w:r w:rsidRPr="001933E4">
        <w:rPr>
          <w:color w:val="FF0000"/>
        </w:rPr>
        <w:t xml:space="preserve"> </w:t>
      </w:r>
      <w:r>
        <w:t>may combat free riding</w:t>
      </w:r>
      <w:r>
        <w:rPr>
          <w:color w:val="FF0000"/>
        </w:rPr>
        <w:t>.</w:t>
      </w:r>
    </w:p>
    <w:p w:rsidR="00781181" w:rsidRPr="001818A9" w:rsidRDefault="00781181" w:rsidP="00781181">
      <w:pPr>
        <w:spacing w:line="360" w:lineRule="auto"/>
        <w:rPr>
          <w:color w:val="FF0000"/>
        </w:rPr>
      </w:pPr>
      <w:r>
        <w:rPr>
          <w:color w:val="FF0000"/>
        </w:rPr>
        <w:t xml:space="preserve">On the other hand, Coffee </w:t>
      </w:r>
      <w:r w:rsidRPr="001818A9">
        <w:rPr>
          <w:strike/>
        </w:rPr>
        <w:t>acknowledges that</w:t>
      </w:r>
      <w:r>
        <w:t xml:space="preserve"> </w:t>
      </w:r>
      <w:r w:rsidRPr="001818A9">
        <w:rPr>
          <w:color w:val="FF0000"/>
        </w:rPr>
        <w:t>postulates that</w:t>
      </w:r>
      <w:r>
        <w:t xml:space="preserve"> </w:t>
      </w:r>
      <w:r w:rsidRPr="001933E4">
        <w:rPr>
          <w:color w:val="FF0000"/>
        </w:rPr>
        <w:t>the</w:t>
      </w:r>
      <w:r>
        <w:t xml:space="preserve"> American </w:t>
      </w:r>
      <w:r w:rsidRPr="001933E4">
        <w:rPr>
          <w:strike/>
        </w:rPr>
        <w:t>class actions</w:t>
      </w:r>
      <w:r>
        <w:rPr>
          <w:strike/>
        </w:rPr>
        <w:t xml:space="preserve"> </w:t>
      </w:r>
      <w:r>
        <w:rPr>
          <w:color w:val="FF0000"/>
        </w:rPr>
        <w:t xml:space="preserve">system may carry limited utility for plaintiffs suffering from personal harm that is of </w:t>
      </w:r>
      <w:r w:rsidRPr="00C301F9">
        <w:rPr>
          <w:strike/>
        </w:rPr>
        <w:t>are limited in supporting those whose personal harm may be of a</w:t>
      </w:r>
      <w:r>
        <w:t xml:space="preserve"> latent nature, such as asbestos infection where symptoms </w:t>
      </w:r>
      <w:r w:rsidRPr="00C301F9">
        <w:rPr>
          <w:color w:val="FF0000"/>
        </w:rPr>
        <w:t>may</w:t>
      </w:r>
      <w:r>
        <w:t xml:space="preserve"> only become apparent after a significant passing of time.</w:t>
      </w:r>
      <w:r>
        <w:rPr>
          <w:rStyle w:val="FootnoteReference"/>
        </w:rPr>
        <w:footnoteReference w:id="15"/>
      </w:r>
      <w:r>
        <w:t xml:space="preserve"> </w:t>
      </w:r>
      <w:r>
        <w:rPr>
          <w:color w:val="FF0000"/>
        </w:rPr>
        <w:t>Furthermore,</w:t>
      </w:r>
      <w:r>
        <w:t xml:space="preserve"> </w:t>
      </w:r>
      <w:commentRangeStart w:id="3"/>
      <w:r>
        <w:t xml:space="preserve">Coffee </w:t>
      </w:r>
      <w:r w:rsidRPr="001818A9">
        <w:rPr>
          <w:strike/>
        </w:rPr>
        <w:t>further</w:t>
      </w:r>
      <w:r>
        <w:t xml:space="preserve"> postulates that the narrow drafting enables the wording to be weaponised by </w:t>
      </w:r>
      <w:r>
        <w:lastRenderedPageBreak/>
        <w:t>defendants in allowing them to defeat class actions rather than serve its intended purpose of assisting courts relocate the case to a more suitable forum.</w:t>
      </w:r>
      <w:r>
        <w:rPr>
          <w:rStyle w:val="FootnoteReference"/>
        </w:rPr>
        <w:footnoteReference w:id="16"/>
      </w:r>
      <w:r>
        <w:t xml:space="preserve"> </w:t>
      </w:r>
      <w:commentRangeEnd w:id="3"/>
      <w:r>
        <w:rPr>
          <w:rStyle w:val="CommentReference"/>
        </w:rPr>
        <w:commentReference w:id="3"/>
      </w:r>
    </w:p>
    <w:p w:rsidR="00781181" w:rsidRDefault="00781181" w:rsidP="00781181">
      <w:pPr>
        <w:spacing w:line="360" w:lineRule="auto"/>
      </w:pPr>
      <w:r w:rsidRPr="001818A9">
        <w:rPr>
          <w:strike/>
        </w:rPr>
        <w:t>Therefore,</w:t>
      </w:r>
      <w:r>
        <w:t xml:space="preserve"> </w:t>
      </w:r>
      <w:r>
        <w:rPr>
          <w:color w:val="FF0000"/>
        </w:rPr>
        <w:t xml:space="preserve">In similar vien, </w:t>
      </w:r>
      <w:r w:rsidRPr="001818A9">
        <w:rPr>
          <w:strike/>
        </w:rPr>
        <w:t>in support of an opting out procedure,</w:t>
      </w:r>
      <w:r>
        <w:t xml:space="preserve"> Miller criticises the American opt-in requirement as being created from the prolonged criticism </w:t>
      </w:r>
      <w:r w:rsidRPr="001933E4">
        <w:rPr>
          <w:strike/>
        </w:rPr>
        <w:t>against</w:t>
      </w:r>
      <w:r>
        <w:t xml:space="preserve"> </w:t>
      </w:r>
      <w:r w:rsidRPr="001933E4">
        <w:rPr>
          <w:color w:val="FF0000"/>
        </w:rPr>
        <w:t>that</w:t>
      </w:r>
      <w:r>
        <w:t xml:space="preserve"> the courts </w:t>
      </w:r>
      <w:r w:rsidRPr="001933E4">
        <w:rPr>
          <w:strike/>
        </w:rPr>
        <w:t>for</w:t>
      </w:r>
      <w:r>
        <w:t xml:space="preserve"> </w:t>
      </w:r>
      <w:r w:rsidRPr="001933E4">
        <w:rPr>
          <w:color w:val="FF0000"/>
        </w:rPr>
        <w:t>are</w:t>
      </w:r>
      <w:r>
        <w:t xml:space="preserve"> lacking a </w:t>
      </w:r>
      <w:r w:rsidRPr="001933E4">
        <w:rPr>
          <w:color w:val="FF0000"/>
        </w:rPr>
        <w:t>sufficiently</w:t>
      </w:r>
      <w:r>
        <w:t xml:space="preserve"> egalitarian framework for clients who cannot afford independent representation.</w:t>
      </w:r>
      <w:r>
        <w:rPr>
          <w:rStyle w:val="FootnoteReference"/>
        </w:rPr>
        <w:footnoteReference w:id="17"/>
      </w:r>
      <w:r>
        <w:t xml:space="preserve"> Thus, Miller describes the “opt-in” requirement as a ‘convenient scapegoat’ because of its upstream operation contrary to the intentions of the 1966 amendment, which introduced the “opt-in” provision.</w:t>
      </w:r>
      <w:r>
        <w:rPr>
          <w:rStyle w:val="FootnoteReference"/>
        </w:rPr>
        <w:footnoteReference w:id="18"/>
      </w:r>
      <w:r>
        <w:t xml:space="preserve"> </w:t>
      </w:r>
    </w:p>
    <w:p w:rsidR="00781181" w:rsidRDefault="00781181" w:rsidP="00781181">
      <w:pPr>
        <w:spacing w:line="360" w:lineRule="auto"/>
      </w:pPr>
      <w:r>
        <w:t>To support his argument, Miller reasons that the amendment</w:t>
      </w:r>
      <w:r w:rsidRPr="00A31531">
        <w:rPr>
          <w:strike/>
        </w:rPr>
        <w:t xml:space="preserve"> as set out in the legislation itself </w:t>
      </w:r>
      <w:r>
        <w:t xml:space="preserve">was intended </w:t>
      </w:r>
      <w:r>
        <w:rPr>
          <w:color w:val="FF0000"/>
        </w:rPr>
        <w:t>to improve the functionality of litigation and case management</w:t>
      </w:r>
      <w:r>
        <w:t xml:space="preserve"> </w:t>
      </w:r>
      <w:r w:rsidRPr="00A31531">
        <w:rPr>
          <w:strike/>
        </w:rPr>
        <w:t>for improved functionality of cases</w:t>
      </w:r>
      <w:r>
        <w:t xml:space="preserve"> by improving their definition type, making their running more streamlined and therefore more cost effective.</w:t>
      </w:r>
      <w:r>
        <w:rPr>
          <w:rStyle w:val="FootnoteReference"/>
        </w:rPr>
        <w:footnoteReference w:id="19"/>
      </w:r>
      <w:r>
        <w:t xml:space="preserve"> </w:t>
      </w:r>
      <w:r w:rsidRPr="00A31531">
        <w:rPr>
          <w:strike/>
        </w:rPr>
        <w:t>Similarly to Coffee,</w:t>
      </w:r>
      <w:r>
        <w:t xml:space="preserve"> Miller argues that the wording of </w:t>
      </w:r>
      <w:commentRangeStart w:id="4"/>
      <w:r>
        <w:t xml:space="preserve">this section </w:t>
      </w:r>
      <w:commentRangeEnd w:id="4"/>
      <w:r>
        <w:rPr>
          <w:rStyle w:val="CommentReference"/>
        </w:rPr>
        <w:commentReference w:id="4"/>
      </w:r>
      <w:r>
        <w:t>does more to improve the defendant’s defence rather than providing a more financially viable alternative for those who do not want to pursue their claims independently.</w:t>
      </w:r>
    </w:p>
    <w:p w:rsidR="00781181" w:rsidRDefault="00781181" w:rsidP="00781181">
      <w:pPr>
        <w:spacing w:line="360" w:lineRule="auto"/>
      </w:pPr>
      <w:r>
        <w:t xml:space="preserve">Therefore, despite the merits of Coffee’s </w:t>
      </w:r>
      <w:r w:rsidRPr="00A31531">
        <w:rPr>
          <w:color w:val="FF0000"/>
        </w:rPr>
        <w:t>initial</w:t>
      </w:r>
      <w:r>
        <w:t xml:space="preserve"> criticism, Australia’s “opt-out” provision </w:t>
      </w:r>
      <w:r>
        <w:rPr>
          <w:color w:val="FF0000"/>
        </w:rPr>
        <w:t xml:space="preserve">appears to </w:t>
      </w:r>
      <w:r>
        <w:t>allow</w:t>
      </w:r>
      <w:r w:rsidRPr="00A31531">
        <w:rPr>
          <w:strike/>
        </w:rPr>
        <w:t>s</w:t>
      </w:r>
      <w:r>
        <w:t xml:space="preserve"> for greater operation in scope and opportunity for those who struggle with access to the law, lack knowledge of their personal harm or </w:t>
      </w:r>
      <w:r w:rsidRPr="00A31531">
        <w:rPr>
          <w:strike/>
        </w:rPr>
        <w:t>of</w:t>
      </w:r>
      <w:r>
        <w:rPr>
          <w:strike/>
        </w:rPr>
        <w:t xml:space="preserve"> </w:t>
      </w:r>
      <w:r>
        <w:rPr>
          <w:color w:val="FF0000"/>
        </w:rPr>
        <w:t>with</w:t>
      </w:r>
      <w:r>
        <w:t xml:space="preserve"> the law itself. Hence, it is difficult to consider the discussed procedural difficulties of the “opt-out” provision in the Victorian Legislation as being “significant” when compared to the flaws of the mandatory “opt –in” requirement of the American class action system. </w:t>
      </w:r>
    </w:p>
    <w:p w:rsidR="00781181" w:rsidRDefault="00781181" w:rsidP="00781181">
      <w:pPr>
        <w:spacing w:line="360" w:lineRule="auto"/>
      </w:pPr>
      <w:r>
        <w:t>This is why Clark and Harris describe the opting out element of the Australian class action system as being of pivotal importance.</w:t>
      </w:r>
      <w:r>
        <w:rPr>
          <w:rStyle w:val="FootnoteReference"/>
        </w:rPr>
        <w:footnoteReference w:id="20"/>
      </w:r>
      <w:r>
        <w:t xml:space="preserve"> In their opinion, to remove </w:t>
      </w:r>
      <w:r>
        <w:lastRenderedPageBreak/>
        <w:t xml:space="preserve">the “opt-out” provision would result in a reduction of access to justice because it may </w:t>
      </w:r>
      <w:r w:rsidRPr="00A31531">
        <w:rPr>
          <w:strike/>
        </w:rPr>
        <w:t>defeat</w:t>
      </w:r>
      <w:r>
        <w:t xml:space="preserve"> </w:t>
      </w:r>
      <w:r>
        <w:rPr>
          <w:color w:val="FF0000"/>
        </w:rPr>
        <w:t xml:space="preserve">remove </w:t>
      </w:r>
      <w:r>
        <w:t>a chance of obtaining a remedy by being encompassed amongst a class action that is less emotionally and financially less arduous as compared to independent representation.</w:t>
      </w:r>
      <w:r>
        <w:rPr>
          <w:rStyle w:val="FootnoteReference"/>
        </w:rPr>
        <w:footnoteReference w:id="21"/>
      </w:r>
      <w:r>
        <w:t xml:space="preserve"> </w:t>
      </w:r>
    </w:p>
    <w:p w:rsidR="00781181" w:rsidRPr="00A31531" w:rsidRDefault="00781181" w:rsidP="00781181">
      <w:pPr>
        <w:spacing w:line="360" w:lineRule="auto"/>
        <w:rPr>
          <w:strike/>
        </w:rPr>
      </w:pPr>
      <w:r>
        <w:t xml:space="preserve">Clark and Harris therefore conclude that altering the class action procedure to include an “opt-in” requirement would leave vulnerable parties completely unrepresented. Therefore, although there are some procedural difficulties involved in the opting out aspect of class actions, it is a more flexible and operable component of class actions in Australia. </w:t>
      </w:r>
      <w:commentRangeStart w:id="5"/>
      <w:r w:rsidRPr="00A31531">
        <w:rPr>
          <w:strike/>
        </w:rPr>
        <w:t>However, despite a flexible inclusion provision for Australians in class actions, there are some significant procedural problems when attempting to keep a class action running.</w:t>
      </w:r>
      <w:commentRangeEnd w:id="5"/>
      <w:r>
        <w:rPr>
          <w:rStyle w:val="CommentReference"/>
        </w:rPr>
        <w:commentReference w:id="5"/>
      </w:r>
    </w:p>
    <w:p w:rsidR="00781181" w:rsidRDefault="00781181" w:rsidP="00781181">
      <w:pPr>
        <w:spacing w:line="360" w:lineRule="auto"/>
        <w:rPr>
          <w:b/>
          <w:sz w:val="28"/>
          <w:u w:val="single"/>
        </w:rPr>
      </w:pPr>
    </w:p>
    <w:p w:rsidR="00781181" w:rsidRDefault="00781181" w:rsidP="00781181">
      <w:pPr>
        <w:spacing w:line="360" w:lineRule="auto"/>
        <w:rPr>
          <w:sz w:val="28"/>
        </w:rPr>
      </w:pPr>
      <w:r>
        <w:rPr>
          <w:b/>
          <w:sz w:val="28"/>
          <w:u w:val="single"/>
        </w:rPr>
        <w:t>3) Invalidating a Class Action.</w:t>
      </w:r>
    </w:p>
    <w:p w:rsidR="00781181" w:rsidRPr="003A2AD5" w:rsidRDefault="00781181" w:rsidP="00781181">
      <w:pPr>
        <w:spacing w:line="360" w:lineRule="auto"/>
        <w:rPr>
          <w:color w:val="FF0000"/>
        </w:rPr>
      </w:pPr>
      <w:r>
        <w:rPr>
          <w:color w:val="FF0000"/>
        </w:rPr>
        <w:t xml:space="preserve">It is argued here that </w:t>
      </w:r>
      <w:r>
        <w:t xml:space="preserve">the broad wording of </w:t>
      </w:r>
      <w:r w:rsidRPr="00D92994">
        <w:rPr>
          <w:color w:val="FF0000"/>
        </w:rPr>
        <w:t>the</w:t>
      </w:r>
      <w:r>
        <w:t xml:space="preserve"> Australian law provides </w:t>
      </w:r>
      <w:proofErr w:type="gramStart"/>
      <w:r w:rsidRPr="00A31531">
        <w:rPr>
          <w:strike/>
        </w:rPr>
        <w:t>the</w:t>
      </w:r>
      <w:r w:rsidRPr="00A31531">
        <w:t xml:space="preserve"> </w:t>
      </w:r>
      <w:r>
        <w:rPr>
          <w:color w:val="FF0000"/>
        </w:rPr>
        <w:t>an</w:t>
      </w:r>
      <w:proofErr w:type="gramEnd"/>
      <w:r>
        <w:t xml:space="preserve"> </w:t>
      </w:r>
      <w:r w:rsidRPr="00A31531">
        <w:rPr>
          <w:color w:val="FF0000"/>
        </w:rPr>
        <w:t>un</w:t>
      </w:r>
      <w:r>
        <w:t xml:space="preserve">necessary leverage for </w:t>
      </w:r>
      <w:r w:rsidRPr="00D92994">
        <w:rPr>
          <w:strike/>
        </w:rPr>
        <w:t>the</w:t>
      </w:r>
      <w:r>
        <w:t xml:space="preserve"> defendant</w:t>
      </w:r>
      <w:r w:rsidRPr="00D92994">
        <w:rPr>
          <w:color w:val="FF0000"/>
        </w:rPr>
        <w:t>s</w:t>
      </w:r>
      <w:r>
        <w:t xml:space="preserve"> to defeat </w:t>
      </w:r>
      <w:r w:rsidRPr="00D92994">
        <w:rPr>
          <w:strike/>
        </w:rPr>
        <w:t>the</w:t>
      </w:r>
      <w:r>
        <w:t xml:space="preserve"> claims made against them in a class action.</w:t>
      </w:r>
      <w:r>
        <w:rPr>
          <w:rStyle w:val="FootnoteReference"/>
        </w:rPr>
        <w:footnoteReference w:id="22"/>
      </w:r>
      <w:r>
        <w:t xml:space="preserve"> </w:t>
      </w:r>
      <w:r>
        <w:rPr>
          <w:color w:val="FF0000"/>
        </w:rPr>
        <w:t xml:space="preserve">Under </w:t>
      </w:r>
      <w:r>
        <w:t xml:space="preserve">the law, </w:t>
      </w:r>
      <w:r>
        <w:rPr>
          <w:color w:val="FF0000"/>
        </w:rPr>
        <w:t xml:space="preserve">the Court may, on application of the defendant, order </w:t>
      </w:r>
      <w:proofErr w:type="gramStart"/>
      <w:r>
        <w:rPr>
          <w:color w:val="FF0000"/>
        </w:rPr>
        <w:t>that  a</w:t>
      </w:r>
      <w:proofErr w:type="gramEnd"/>
      <w:r>
        <w:rPr>
          <w:color w:val="FF0000"/>
        </w:rPr>
        <w:t xml:space="preserve"> proceeding no longer continue as a class action if it is satisfied that it is in the interests of justice.</w:t>
      </w:r>
      <w:r w:rsidRPr="00D92994">
        <w:rPr>
          <w:rStyle w:val="FootnoteReference"/>
        </w:rPr>
        <w:t xml:space="preserve"> </w:t>
      </w:r>
      <w:r>
        <w:rPr>
          <w:rStyle w:val="FootnoteReference"/>
        </w:rPr>
        <w:footnoteReference w:id="23"/>
      </w:r>
      <w:r>
        <w:t xml:space="preserve"> </w:t>
      </w:r>
      <w:r>
        <w:rPr>
          <w:color w:val="FF0000"/>
        </w:rPr>
        <w:t xml:space="preserve"> </w:t>
      </w:r>
      <w:proofErr w:type="gramStart"/>
      <w:r w:rsidRPr="00D92994">
        <w:rPr>
          <w:strike/>
        </w:rPr>
        <w:t>sets</w:t>
      </w:r>
      <w:proofErr w:type="gramEnd"/>
      <w:r w:rsidRPr="00D92994">
        <w:rPr>
          <w:strike/>
        </w:rPr>
        <w:t xml:space="preserve"> out</w:t>
      </w:r>
      <w:r>
        <w:t xml:space="preserve"> </w:t>
      </w:r>
      <w:r w:rsidRPr="00D92994">
        <w:rPr>
          <w:strike/>
        </w:rPr>
        <w:t>a number of criteria required for defendants to persuade the court that a proceeding should be ceased as a class action.</w:t>
      </w:r>
      <w:r>
        <w:t xml:space="preserve"> </w:t>
      </w:r>
      <w:r>
        <w:rPr>
          <w:color w:val="FF0000"/>
        </w:rPr>
        <w:t>The provision sets out specific circumstances in which such interest of justice is infringed by the class action.</w:t>
      </w:r>
      <w:r>
        <w:rPr>
          <w:rStyle w:val="FootnoteReference"/>
        </w:rPr>
        <w:footnoteReference w:id="24"/>
      </w:r>
      <w:r>
        <w:rPr>
          <w:color w:val="FF0000"/>
        </w:rPr>
        <w:t xml:space="preserve"> </w:t>
      </w:r>
      <w:r>
        <w:t>According to Hollingsworth J, this legislative mechanism is:</w:t>
      </w:r>
    </w:p>
    <w:p w:rsidR="00781181" w:rsidRDefault="00781181" w:rsidP="00781181">
      <w:pPr>
        <w:spacing w:line="360" w:lineRule="auto"/>
        <w:ind w:left="709"/>
      </w:pPr>
      <w:r>
        <w:t>“…concerned with the interests of justice and the practical utility of continuing the proceeding as a group proceeding.”</w:t>
      </w:r>
      <w:r>
        <w:rPr>
          <w:rStyle w:val="FootnoteReference"/>
        </w:rPr>
        <w:footnoteReference w:id="25"/>
      </w:r>
    </w:p>
    <w:p w:rsidR="00781181" w:rsidRPr="00D92994" w:rsidRDefault="00781181" w:rsidP="00781181">
      <w:pPr>
        <w:spacing w:line="360" w:lineRule="auto"/>
        <w:rPr>
          <w:color w:val="FF0000"/>
        </w:rPr>
      </w:pPr>
    </w:p>
    <w:p w:rsidR="00781181" w:rsidRDefault="00781181" w:rsidP="00781181">
      <w:pPr>
        <w:spacing w:line="360" w:lineRule="auto"/>
      </w:pPr>
      <w:r>
        <w:t xml:space="preserve">Weiss and Beckerman positively appraise this provision in that the legislation </w:t>
      </w:r>
      <w:proofErr w:type="gramStart"/>
      <w:r w:rsidRPr="00A0712A">
        <w:rPr>
          <w:strike/>
        </w:rPr>
        <w:t>can</w:t>
      </w:r>
      <w:r>
        <w:t xml:space="preserve"> </w:t>
      </w:r>
      <w:r w:rsidRPr="00A0712A">
        <w:rPr>
          <w:color w:val="FF0000"/>
        </w:rPr>
        <w:t>may</w:t>
      </w:r>
      <w:proofErr w:type="gramEnd"/>
      <w:r>
        <w:t xml:space="preserve"> help to reduce the opportunism of small groups or attorneys who see it as an avenue to receive a pay out from a large corporation.</w:t>
      </w:r>
      <w:r>
        <w:rPr>
          <w:rStyle w:val="FootnoteReference"/>
        </w:rPr>
        <w:footnoteReference w:id="26"/>
      </w:r>
      <w:r>
        <w:t xml:space="preserve"> This particular aspect of class actions received much outcry from the business community in the fear class actions could provide an opportunity for large, scattergun type claims from various factions within the Australian community.</w:t>
      </w:r>
      <w:r>
        <w:rPr>
          <w:rStyle w:val="FootnoteReference"/>
        </w:rPr>
        <w:footnoteReference w:id="27"/>
      </w:r>
      <w:r>
        <w:t xml:space="preserve"> </w:t>
      </w:r>
    </w:p>
    <w:p w:rsidR="00781181" w:rsidRDefault="00781181" w:rsidP="00781181">
      <w:pPr>
        <w:spacing w:line="360" w:lineRule="auto"/>
      </w:pPr>
      <w:r w:rsidRPr="00B9700B">
        <w:rPr>
          <w:strike/>
        </w:rPr>
        <w:t>Ironically</w:t>
      </w:r>
      <w:r>
        <w:t xml:space="preserve">, </w:t>
      </w:r>
      <w:r w:rsidRPr="00B9700B">
        <w:rPr>
          <w:color w:val="FF0000"/>
        </w:rPr>
        <w:t>On the other hand,</w:t>
      </w:r>
      <w:r>
        <w:t xml:space="preserve"> </w:t>
      </w:r>
      <w:r>
        <w:rPr>
          <w:color w:val="FF0000"/>
        </w:rPr>
        <w:t>Murphy and Cameron points out that</w:t>
      </w:r>
      <w:r>
        <w:t xml:space="preserve"> this </w:t>
      </w:r>
      <w:r w:rsidRPr="00B9700B">
        <w:rPr>
          <w:color w:val="FF0000"/>
        </w:rPr>
        <w:t>provision</w:t>
      </w:r>
      <w:r>
        <w:t xml:space="preserve"> </w:t>
      </w:r>
      <w:r w:rsidRPr="00B9700B">
        <w:rPr>
          <w:color w:val="FF0000"/>
        </w:rPr>
        <w:t>could have the effect of</w:t>
      </w:r>
      <w:r>
        <w:rPr>
          <w:color w:val="FF0000"/>
        </w:rPr>
        <w:t xml:space="preserve"> curtailing</w:t>
      </w:r>
      <w:r w:rsidRPr="00B9700B">
        <w:rPr>
          <w:color w:val="FF0000"/>
        </w:rPr>
        <w:t xml:space="preserve"> </w:t>
      </w:r>
      <w:r w:rsidRPr="00B9700B">
        <w:rPr>
          <w:strike/>
        </w:rPr>
        <w:t>curtail</w:t>
      </w:r>
      <w:r>
        <w:t xml:space="preserve"> a successful class action. They postulate that </w:t>
      </w:r>
      <w:r w:rsidRPr="00B841FE">
        <w:rPr>
          <w:strike/>
        </w:rPr>
        <w:t>in exercising this power,</w:t>
      </w:r>
      <w:r>
        <w:t xml:space="preserve"> </w:t>
      </w:r>
      <w:r w:rsidRPr="003A2AD5">
        <w:rPr>
          <w:strike/>
        </w:rPr>
        <w:t>as stated by Murphy and Cameron,</w:t>
      </w:r>
      <w:r>
        <w:t xml:space="preserve"> the broad wording of the legislation may save the court time but </w:t>
      </w:r>
      <w:r>
        <w:rPr>
          <w:color w:val="FF0000"/>
        </w:rPr>
        <w:t>ironically</w:t>
      </w:r>
      <w:r>
        <w:t xml:space="preserve"> </w:t>
      </w:r>
      <w:r w:rsidRPr="00B841FE">
        <w:rPr>
          <w:strike/>
        </w:rPr>
        <w:t>also</w:t>
      </w:r>
      <w:r>
        <w:t xml:space="preserve"> provide the defendant with a loophole</w:t>
      </w:r>
      <w:r>
        <w:rPr>
          <w:color w:val="FF0000"/>
        </w:rPr>
        <w:t xml:space="preserve">, especially where </w:t>
      </w:r>
      <w:r>
        <w:t xml:space="preserve">they are wagering on the claim being defeated </w:t>
      </w:r>
      <w:r w:rsidRPr="00B841FE">
        <w:rPr>
          <w:strike/>
        </w:rPr>
        <w:t>if</w:t>
      </w:r>
      <w:r>
        <w:t xml:space="preserve"> </w:t>
      </w:r>
      <w:r w:rsidRPr="00B841FE">
        <w:rPr>
          <w:color w:val="FF0000"/>
        </w:rPr>
        <w:t>when</w:t>
      </w:r>
      <w:r>
        <w:t xml:space="preserve"> argued independently as oppose to </w:t>
      </w:r>
      <w:r w:rsidRPr="00B841FE">
        <w:rPr>
          <w:color w:val="FF0000"/>
        </w:rPr>
        <w:t>via</w:t>
      </w:r>
      <w:r>
        <w:t xml:space="preserve"> a class action.</w:t>
      </w:r>
      <w:r>
        <w:rPr>
          <w:rStyle w:val="FootnoteReference"/>
        </w:rPr>
        <w:footnoteReference w:id="28"/>
      </w:r>
      <w:r>
        <w:t xml:space="preserve"> </w:t>
      </w:r>
    </w:p>
    <w:p w:rsidR="00781181" w:rsidRDefault="00781181" w:rsidP="00781181">
      <w:pPr>
        <w:spacing w:line="360" w:lineRule="auto"/>
      </w:pPr>
      <w:r>
        <w:t xml:space="preserve">For example, the commentary in </w:t>
      </w:r>
      <w:r>
        <w:rPr>
          <w:i/>
        </w:rPr>
        <w:t>McLean v Nicholson</w:t>
      </w:r>
      <w:r>
        <w:rPr>
          <w:rStyle w:val="FootnoteReference"/>
          <w:i/>
        </w:rPr>
        <w:footnoteReference w:id="29"/>
      </w:r>
      <w:r>
        <w:rPr>
          <w:i/>
        </w:rPr>
        <w:t xml:space="preserve"> </w:t>
      </w:r>
      <w:r>
        <w:t xml:space="preserve">testifies the flexibility of these terms. </w:t>
      </w:r>
      <w:r w:rsidRPr="00B841FE">
        <w:rPr>
          <w:strike/>
        </w:rPr>
        <w:t>Where</w:t>
      </w:r>
      <w:r>
        <w:rPr>
          <w:strike/>
        </w:rPr>
        <w:t xml:space="preserve"> </w:t>
      </w:r>
      <w:r>
        <w:t xml:space="preserve"> </w:t>
      </w:r>
      <w:r>
        <w:rPr>
          <w:color w:val="FF0000"/>
        </w:rPr>
        <w:t xml:space="preserve">In this case, </w:t>
      </w:r>
      <w:r>
        <w:t xml:space="preserve">Bongiorno J </w:t>
      </w:r>
      <w:r w:rsidRPr="00B841FE">
        <w:rPr>
          <w:strike/>
        </w:rPr>
        <w:t>stated</w:t>
      </w:r>
      <w:r>
        <w:rPr>
          <w:strike/>
        </w:rPr>
        <w:t xml:space="preserve"> </w:t>
      </w:r>
      <w:r>
        <w:rPr>
          <w:color w:val="FF0000"/>
        </w:rPr>
        <w:t>concluded</w:t>
      </w:r>
      <w:r>
        <w:t xml:space="preserve"> that if it can be </w:t>
      </w:r>
      <w:r w:rsidRPr="00D41E9A">
        <w:t xml:space="preserve">proven </w:t>
      </w:r>
      <w:r>
        <w:t xml:space="preserve">under </w:t>
      </w:r>
      <w:r w:rsidRPr="003A2AD5">
        <w:rPr>
          <w:color w:val="FF0000"/>
        </w:rPr>
        <w:t>section</w:t>
      </w:r>
      <w:r>
        <w:t xml:space="preserve"> 33N(1)(b)</w:t>
      </w:r>
      <w:r>
        <w:rPr>
          <w:rStyle w:val="FootnoteReference"/>
        </w:rPr>
        <w:footnoteReference w:id="30"/>
      </w:r>
      <w:r>
        <w:t xml:space="preserve"> that all of the group members in a class action could obtain relief other than </w:t>
      </w:r>
      <w:r>
        <w:rPr>
          <w:color w:val="FF0000"/>
        </w:rPr>
        <w:t xml:space="preserve">via a </w:t>
      </w:r>
      <w:r>
        <w:t xml:space="preserve">group proceeding, </w:t>
      </w:r>
      <w:r w:rsidRPr="00D41E9A">
        <w:rPr>
          <w:strike/>
        </w:rPr>
        <w:t>as set out under 33N(1)(b)</w:t>
      </w:r>
      <w:r w:rsidRPr="00D41E9A">
        <w:rPr>
          <w:rStyle w:val="FootnoteReference"/>
          <w:strike/>
        </w:rPr>
        <w:footnoteReference w:id="31"/>
      </w:r>
      <w:r>
        <w:t xml:space="preserve"> </w:t>
      </w:r>
      <w:r>
        <w:rPr>
          <w:color w:val="FF0000"/>
        </w:rPr>
        <w:t xml:space="preserve">then </w:t>
      </w:r>
      <w:r>
        <w:t xml:space="preserve">this </w:t>
      </w:r>
      <w:commentRangeStart w:id="6"/>
      <w:r>
        <w:t>alone</w:t>
      </w:r>
      <w:commentRangeEnd w:id="6"/>
      <w:r>
        <w:rPr>
          <w:rStyle w:val="CommentReference"/>
        </w:rPr>
        <w:commentReference w:id="6"/>
      </w:r>
      <w:r>
        <w:t xml:space="preserve"> </w:t>
      </w:r>
      <w:r>
        <w:rPr>
          <w:color w:val="FF0000"/>
        </w:rPr>
        <w:t>may be</w:t>
      </w:r>
      <w:r>
        <w:t xml:space="preserve"> </w:t>
      </w:r>
      <w:r w:rsidRPr="00B841FE">
        <w:rPr>
          <w:strike/>
        </w:rPr>
        <w:t>is</w:t>
      </w:r>
      <w:r>
        <w:t xml:space="preserve"> sufficient to strike out the class action. This type of judgment reflects </w:t>
      </w:r>
      <w:r w:rsidRPr="00D41E9A">
        <w:t>the</w:t>
      </w:r>
      <w:r w:rsidRPr="003A2AD5">
        <w:rPr>
          <w:strike/>
        </w:rPr>
        <w:t xml:space="preserve"> concerns of</w:t>
      </w:r>
      <w:r>
        <w:t xml:space="preserve"> aforementioned </w:t>
      </w:r>
      <w:r w:rsidRPr="003A2AD5">
        <w:rPr>
          <w:color w:val="FF0000"/>
        </w:rPr>
        <w:t xml:space="preserve">concerns </w:t>
      </w:r>
      <w:r>
        <w:rPr>
          <w:color w:val="FF0000"/>
        </w:rPr>
        <w:t xml:space="preserve">made by </w:t>
      </w:r>
      <w:r>
        <w:t xml:space="preserve">Murphy and Cameron that </w:t>
      </w:r>
      <w:r w:rsidRPr="003A2AD5">
        <w:rPr>
          <w:strike/>
        </w:rPr>
        <w:t xml:space="preserve">when stating that </w:t>
      </w:r>
      <w:r w:rsidRPr="003A2AD5">
        <w:rPr>
          <w:strike/>
          <w:color w:val="FF0000"/>
        </w:rPr>
        <w:t xml:space="preserve">section </w:t>
      </w:r>
      <w:r w:rsidRPr="003A2AD5">
        <w:rPr>
          <w:strike/>
        </w:rPr>
        <w:t>33N</w:t>
      </w:r>
      <w:r>
        <w:t xml:space="preserve"> </w:t>
      </w:r>
      <w:r w:rsidRPr="003A2AD5">
        <w:rPr>
          <w:color w:val="FF0000"/>
        </w:rPr>
        <w:t>it may</w:t>
      </w:r>
      <w:r>
        <w:rPr>
          <w:color w:val="FF0000"/>
        </w:rPr>
        <w:t xml:space="preserve"> have the effect of</w:t>
      </w:r>
      <w:r>
        <w:t xml:space="preserve"> </w:t>
      </w:r>
      <w:r w:rsidRPr="003A2AD5">
        <w:rPr>
          <w:strike/>
        </w:rPr>
        <w:t>can</w:t>
      </w:r>
      <w:r>
        <w:t xml:space="preserve"> expressly deny</w:t>
      </w:r>
      <w:r>
        <w:rPr>
          <w:color w:val="FF0000"/>
        </w:rPr>
        <w:t>ing</w:t>
      </w:r>
      <w:r>
        <w:t xml:space="preserve"> an opportunity for those </w:t>
      </w:r>
      <w:r>
        <w:rPr>
          <w:color w:val="FF0000"/>
        </w:rPr>
        <w:t xml:space="preserve">plaintiffs who may be </w:t>
      </w:r>
      <w:r w:rsidRPr="003A2AD5">
        <w:rPr>
          <w:strike/>
        </w:rPr>
        <w:t>are</w:t>
      </w:r>
      <w:r>
        <w:t xml:space="preserve"> happy to be bound by a group decision – rather than </w:t>
      </w:r>
      <w:r>
        <w:rPr>
          <w:color w:val="FF0000"/>
        </w:rPr>
        <w:t>to</w:t>
      </w:r>
      <w:r>
        <w:t xml:space="preserve"> endure the stress and financial burden of independent litigation.</w:t>
      </w:r>
      <w:r>
        <w:rPr>
          <w:rStyle w:val="FootnoteReference"/>
        </w:rPr>
        <w:footnoteReference w:id="32"/>
      </w:r>
      <w:r>
        <w:t xml:space="preserve"> </w:t>
      </w:r>
    </w:p>
    <w:p w:rsidR="00781181" w:rsidRDefault="00781181" w:rsidP="00781181">
      <w:pPr>
        <w:spacing w:line="360" w:lineRule="auto"/>
      </w:pPr>
      <w:r>
        <w:lastRenderedPageBreak/>
        <w:t xml:space="preserve">Hence, the procedural problem of this provision is revealed: with one hand, the law revokes an opportunity to claim damages </w:t>
      </w:r>
      <w:r w:rsidRPr="00B9700B">
        <w:rPr>
          <w:strike/>
        </w:rPr>
        <w:t>opposite</w:t>
      </w:r>
      <w:r>
        <w:t xml:space="preserve"> </w:t>
      </w:r>
      <w:r w:rsidRPr="00B9700B">
        <w:rPr>
          <w:strike/>
        </w:rPr>
        <w:t xml:space="preserve">to </w:t>
      </w:r>
      <w:r w:rsidRPr="00B9700B">
        <w:rPr>
          <w:color w:val="FF0000"/>
        </w:rPr>
        <w:t>from</w:t>
      </w:r>
      <w:r>
        <w:rPr>
          <w:color w:val="FF0000"/>
        </w:rPr>
        <w:t xml:space="preserve"> </w:t>
      </w:r>
      <w:r>
        <w:t xml:space="preserve">the hand that </w:t>
      </w:r>
      <w:r>
        <w:rPr>
          <w:color w:val="FF0000"/>
        </w:rPr>
        <w:t xml:space="preserve">had initially </w:t>
      </w:r>
      <w:r>
        <w:t>offered it. Class actions similar to the 2009 Black Saturday bushfire in Marysville may be at risk of such judicial striking out. The Marysville class action was brought against an electricity company where it was alleged their power lines were the cause of the fatal disaster.</w:t>
      </w:r>
      <w:r>
        <w:rPr>
          <w:rStyle w:val="FootnoteReference"/>
        </w:rPr>
        <w:footnoteReference w:id="33"/>
      </w:r>
      <w:r>
        <w:t xml:space="preserve"> The claim was potentially at the peril of the Victorian Supreme Court Act as follows:</w:t>
      </w:r>
    </w:p>
    <w:p w:rsidR="00781181" w:rsidRDefault="00781181" w:rsidP="00781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701"/>
        <w:rPr>
          <w:rFonts w:ascii="Helvetica" w:hAnsi="Helvetica" w:cs="Helvetica"/>
        </w:rPr>
      </w:pPr>
      <w:r>
        <w:t>“</w:t>
      </w:r>
      <w:r>
        <w:rPr>
          <w:rFonts w:ascii="Times New Roman" w:hAnsi="Times New Roman"/>
        </w:rPr>
        <w:t xml:space="preserve">The Court may, on application by the defendant, </w:t>
      </w:r>
    </w:p>
    <w:p w:rsidR="00781181" w:rsidRDefault="00781181" w:rsidP="00781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701"/>
        <w:rPr>
          <w:rFonts w:ascii="Helvetica" w:hAnsi="Helvetica" w:cs="Helvetica"/>
        </w:rPr>
      </w:pPr>
      <w:proofErr w:type="gramStart"/>
      <w:r>
        <w:rPr>
          <w:rFonts w:ascii="Times New Roman" w:hAnsi="Times New Roman"/>
        </w:rPr>
        <w:t>order</w:t>
      </w:r>
      <w:proofErr w:type="gramEnd"/>
      <w:r>
        <w:rPr>
          <w:rFonts w:ascii="Times New Roman" w:hAnsi="Times New Roman"/>
        </w:rPr>
        <w:t xml:space="preserve"> that a proceeding no longer continue under </w:t>
      </w:r>
    </w:p>
    <w:p w:rsidR="00781181" w:rsidRPr="00B833ED" w:rsidRDefault="00781181" w:rsidP="00781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701"/>
        <w:rPr>
          <w:rFonts w:ascii="Arial" w:hAnsi="Arial" w:cs="Arial"/>
          <w:b/>
          <w:bCs/>
          <w:sz w:val="16"/>
          <w:szCs w:val="16"/>
        </w:rPr>
      </w:pPr>
      <w:proofErr w:type="gramStart"/>
      <w:r>
        <w:rPr>
          <w:rFonts w:ascii="Times New Roman" w:hAnsi="Times New Roman"/>
        </w:rPr>
        <w:t>this</w:t>
      </w:r>
      <w:proofErr w:type="gramEnd"/>
      <w:r>
        <w:rPr>
          <w:rFonts w:ascii="Times New Roman" w:hAnsi="Times New Roman"/>
        </w:rPr>
        <w:t xml:space="preserve"> Part if it is satisfied that it is in the interests of justice to do so because—</w:t>
      </w:r>
      <w:r>
        <w:rPr>
          <w:rFonts w:ascii="Arial" w:hAnsi="Arial" w:cs="Arial"/>
          <w:b/>
          <w:bCs/>
          <w:sz w:val="16"/>
          <w:szCs w:val="16"/>
        </w:rPr>
        <w:t xml:space="preserve"> </w:t>
      </w:r>
      <w:r>
        <w:rPr>
          <w:rFonts w:ascii="Times New Roman" w:hAnsi="Times New Roman"/>
        </w:rPr>
        <w:t xml:space="preserve">it is </w:t>
      </w:r>
      <w:r w:rsidRPr="00B921AA">
        <w:rPr>
          <w:rFonts w:ascii="Times New Roman" w:hAnsi="Times New Roman"/>
          <w:b/>
          <w:u w:val="single"/>
        </w:rPr>
        <w:t>otherwise inappropriate</w:t>
      </w:r>
      <w:r>
        <w:rPr>
          <w:rFonts w:ascii="Times New Roman" w:hAnsi="Times New Roman"/>
        </w:rPr>
        <w:t xml:space="preserve"> that the claims </w:t>
      </w:r>
    </w:p>
    <w:p w:rsidR="00781181" w:rsidRDefault="00781181" w:rsidP="00781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701"/>
        <w:rPr>
          <w:rFonts w:ascii="Helvetica" w:hAnsi="Helvetica" w:cs="Helvetica"/>
        </w:rPr>
      </w:pPr>
      <w:proofErr w:type="gramStart"/>
      <w:r>
        <w:rPr>
          <w:rFonts w:ascii="Times New Roman" w:hAnsi="Times New Roman"/>
        </w:rPr>
        <w:t>be</w:t>
      </w:r>
      <w:proofErr w:type="gramEnd"/>
      <w:r>
        <w:rPr>
          <w:rFonts w:ascii="Times New Roman" w:hAnsi="Times New Roman"/>
        </w:rPr>
        <w:t xml:space="preserve"> pursued by means of a group proceeding.”</w:t>
      </w:r>
      <w:r>
        <w:rPr>
          <w:rStyle w:val="FootnoteReference"/>
          <w:rFonts w:ascii="Times New Roman" w:hAnsi="Times New Roman"/>
        </w:rPr>
        <w:footnoteReference w:id="34"/>
      </w:r>
      <w:r>
        <w:rPr>
          <w:rFonts w:ascii="Times New Roman" w:hAnsi="Times New Roman"/>
        </w:rPr>
        <w:t xml:space="preserve"> (Emphasis added)</w:t>
      </w:r>
    </w:p>
    <w:p w:rsidR="00781181" w:rsidRDefault="00781181" w:rsidP="00781181">
      <w:pPr>
        <w:spacing w:line="360" w:lineRule="auto"/>
      </w:pPr>
    </w:p>
    <w:p w:rsidR="00781181" w:rsidRDefault="00781181" w:rsidP="00781181">
      <w:pPr>
        <w:spacing w:line="360" w:lineRule="auto"/>
      </w:pPr>
      <w:r>
        <w:t xml:space="preserve">This broad wording may have allowed the defendant to argue </w:t>
      </w:r>
      <w:r w:rsidRPr="00B841FE">
        <w:rPr>
          <w:color w:val="FF0000"/>
        </w:rPr>
        <w:t>that</w:t>
      </w:r>
      <w:r>
        <w:t xml:space="preserve"> due to the 161 lives claimed amongst the large geography of </w:t>
      </w:r>
      <w:r>
        <w:rPr>
          <w:color w:val="FF0000"/>
        </w:rPr>
        <w:t>affected areas in</w:t>
      </w:r>
      <w:r>
        <w:t xml:space="preserve"> Marysville, </w:t>
      </w:r>
      <w:r w:rsidRPr="00B841FE">
        <w:rPr>
          <w:color w:val="FF0000"/>
        </w:rPr>
        <w:t>that</w:t>
      </w:r>
      <w:r>
        <w:t xml:space="preserve"> </w:t>
      </w:r>
      <w:r w:rsidRPr="00B841FE">
        <w:rPr>
          <w:strike/>
        </w:rPr>
        <w:t xml:space="preserve">that was affected, </w:t>
      </w:r>
      <w:r>
        <w:t>it was not possible for the electricity company to be single handedly accountable</w:t>
      </w:r>
      <w:r w:rsidRPr="00B841FE">
        <w:rPr>
          <w:color w:val="FF0000"/>
        </w:rPr>
        <w:t>:</w:t>
      </w:r>
      <w:r>
        <w:t xml:space="preserve"> </w:t>
      </w:r>
      <w:r w:rsidRPr="00B841FE">
        <w:rPr>
          <w:strike/>
        </w:rPr>
        <w:t>since</w:t>
      </w:r>
      <w:r>
        <w:t xml:space="preserve"> other factors such as weather, terrain conditions and various intervening causes could have also contributed or worsened the fires. Therefore, </w:t>
      </w:r>
      <w:r>
        <w:rPr>
          <w:color w:val="FF0000"/>
        </w:rPr>
        <w:t>it may be argued that</w:t>
      </w:r>
      <w:r>
        <w:t xml:space="preserve"> the class action could be “otherwise inappropriate” because the destruction of property or death of loved ones may have resulted from causes other than </w:t>
      </w:r>
      <w:r>
        <w:rPr>
          <w:color w:val="FF0000"/>
        </w:rPr>
        <w:t xml:space="preserve">the </w:t>
      </w:r>
      <w:r>
        <w:t>defendant</w:t>
      </w:r>
      <w:r w:rsidRPr="00B9700B">
        <w:rPr>
          <w:color w:val="FF0000"/>
        </w:rPr>
        <w:t>’s</w:t>
      </w:r>
      <w:r>
        <w:t xml:space="preserve"> negligence. </w:t>
      </w:r>
      <w:r w:rsidRPr="00B9700B">
        <w:rPr>
          <w:strike/>
        </w:rPr>
        <w:t>It would</w:t>
      </w:r>
      <w:r>
        <w:t xml:space="preserve"> </w:t>
      </w:r>
      <w:proofErr w:type="gramStart"/>
      <w:r>
        <w:t>Arguably</w:t>
      </w:r>
      <w:proofErr w:type="gramEnd"/>
      <w:r>
        <w:t xml:space="preserve">, </w:t>
      </w:r>
      <w:r>
        <w:rPr>
          <w:color w:val="FF0000"/>
        </w:rPr>
        <w:t>it would</w:t>
      </w:r>
      <w:r>
        <w:t xml:space="preserve"> be more costly, more stressful and take far more time for individuals to bring a claim against the defendant when taking these factors into account. </w:t>
      </w:r>
      <w:r w:rsidRPr="00B9700B">
        <w:rPr>
          <w:strike/>
        </w:rPr>
        <w:t>Consequently, the issue is created by the procedural problem that exists within section 33N.</w:t>
      </w:r>
      <w:r>
        <w:t xml:space="preserve"> </w:t>
      </w:r>
    </w:p>
    <w:p w:rsidR="00781181" w:rsidRDefault="00781181" w:rsidP="00781181">
      <w:pPr>
        <w:spacing w:line="360" w:lineRule="auto"/>
      </w:pPr>
    </w:p>
    <w:p w:rsidR="00781181" w:rsidRDefault="00781181" w:rsidP="00781181">
      <w:pPr>
        <w:spacing w:line="360" w:lineRule="auto"/>
        <w:rPr>
          <w:sz w:val="28"/>
        </w:rPr>
      </w:pPr>
      <w:r w:rsidRPr="0070181B">
        <w:rPr>
          <w:b/>
          <w:sz w:val="28"/>
          <w:u w:val="single"/>
        </w:rPr>
        <w:t>Conclusion:</w:t>
      </w:r>
    </w:p>
    <w:p w:rsidR="00781181" w:rsidRPr="0070181B" w:rsidRDefault="00781181" w:rsidP="00781181">
      <w:pPr>
        <w:spacing w:line="360" w:lineRule="auto"/>
      </w:pPr>
      <w:r>
        <w:lastRenderedPageBreak/>
        <w:t xml:space="preserve">From the areas of law discussed with respect to class actions, there are significant procedural difficulties. </w:t>
      </w:r>
      <w:r w:rsidRPr="00B841FE">
        <w:rPr>
          <w:strike/>
        </w:rPr>
        <w:t>Firstly,</w:t>
      </w:r>
      <w:r>
        <w:t xml:space="preserve"> </w:t>
      </w:r>
      <w:proofErr w:type="gramStart"/>
      <w:r>
        <w:t>Although</w:t>
      </w:r>
      <w:proofErr w:type="gramEnd"/>
      <w:r>
        <w:t xml:space="preserve"> the opting out scheme had its share of flaws, it was a stronger approach to class actions than the </w:t>
      </w:r>
      <w:r w:rsidRPr="00B841FE">
        <w:rPr>
          <w:color w:val="FF0000"/>
        </w:rPr>
        <w:t xml:space="preserve">American </w:t>
      </w:r>
      <w:r>
        <w:t xml:space="preserve">“opt-in” requirement. However, the ability for the defence to strike out a claim may undermine the purpose of the class action system in Australia. </w:t>
      </w:r>
    </w:p>
    <w:p w:rsidR="00781181" w:rsidRDefault="00781181" w:rsidP="00781181"/>
    <w:p w:rsidR="001043F5" w:rsidRDefault="001043F5">
      <w:bookmarkStart w:id="7" w:name="_GoBack"/>
      <w:bookmarkEnd w:id="7"/>
    </w:p>
    <w:sectPr w:rsidR="001043F5" w:rsidSect="00682711">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mes Cho" w:date="2013-06-29T10:44:00Z" w:initials="JC">
    <w:p w:rsidR="00781181" w:rsidRPr="00D10C57" w:rsidRDefault="00781181" w:rsidP="00781181">
      <w:pPr>
        <w:pStyle w:val="CommentText"/>
        <w:rPr>
          <w:rFonts w:ascii="Garamond" w:hAnsi="Garamond"/>
        </w:rPr>
      </w:pPr>
      <w:r w:rsidRPr="00D10C57">
        <w:rPr>
          <w:rStyle w:val="CommentReference"/>
          <w:rFonts w:ascii="Garamond" w:hAnsi="Garamond"/>
        </w:rPr>
        <w:annotationRef/>
      </w:r>
      <w:r w:rsidRPr="00D10C57">
        <w:rPr>
          <w:rFonts w:ascii="Garamond" w:hAnsi="Garamond"/>
        </w:rPr>
        <w:t xml:space="preserve">Please note – I prefer not to use the term “class action”. It is a colloquial term that may refer to a range of imprecise things (see e.g. </w:t>
      </w:r>
      <w:r w:rsidRPr="00D10C57">
        <w:rPr>
          <w:rFonts w:ascii="Garamond" w:hAnsi="Garamond"/>
          <w:i/>
        </w:rPr>
        <w:t xml:space="preserve">Carnie </w:t>
      </w:r>
      <w:r w:rsidRPr="00D10C57">
        <w:rPr>
          <w:rFonts w:ascii="Garamond" w:hAnsi="Garamond"/>
        </w:rPr>
        <w:t xml:space="preserve">as per Mason CJ, Deane and Dawson JJ at 3). Note that I nevertheless give in to your adherence to the use of this term </w:t>
      </w:r>
      <w:r>
        <w:rPr>
          <w:rFonts w:ascii="Garamond" w:hAnsi="Garamond"/>
        </w:rPr>
        <w:t>after the introduction.</w:t>
      </w:r>
      <w:r w:rsidRPr="00D10C57">
        <w:rPr>
          <w:rFonts w:ascii="Garamond" w:hAnsi="Garamond"/>
        </w:rPr>
        <w:t xml:space="preserve"> </w:t>
      </w:r>
    </w:p>
  </w:comment>
  <w:comment w:id="1" w:author="James Cho" w:date="2013-06-29T10:44:00Z" w:initials="JC">
    <w:p w:rsidR="00781181" w:rsidRPr="00D10C57" w:rsidRDefault="00781181" w:rsidP="00781181">
      <w:pPr>
        <w:pStyle w:val="CommentText"/>
        <w:rPr>
          <w:rFonts w:ascii="Garamond" w:hAnsi="Garamond"/>
        </w:rPr>
      </w:pPr>
      <w:r w:rsidRPr="00D10C57">
        <w:rPr>
          <w:rStyle w:val="CommentReference"/>
          <w:rFonts w:ascii="Garamond" w:hAnsi="Garamond"/>
        </w:rPr>
        <w:annotationRef/>
      </w:r>
      <w:r w:rsidRPr="00D10C57">
        <w:rPr>
          <w:rFonts w:ascii="Garamond" w:hAnsi="Garamond"/>
        </w:rPr>
        <w:t>I recommend that you add the second reading speech of the Bill introducing the relevant part (i.e. Federal Court of Australia Amendment Act 1991 (Cth)) as it shows clearly what the purposes of the law relating to class action was at the time. For your convenience, I have copied and pasted the relevant part below. If it is two long, you can always just add it to the footnote, which will not be part of the word count (i.e. merely as a reference)</w:t>
      </w:r>
    </w:p>
    <w:p w:rsidR="00781181" w:rsidRPr="00D10C57" w:rsidRDefault="00781181" w:rsidP="00781181">
      <w:pPr>
        <w:pStyle w:val="CommentText"/>
        <w:rPr>
          <w:rFonts w:ascii="Garamond" w:hAnsi="Garamond"/>
        </w:rPr>
      </w:pPr>
    </w:p>
    <w:p w:rsidR="00781181" w:rsidRPr="00D10C57" w:rsidRDefault="00781181" w:rsidP="00781181">
      <w:pPr>
        <w:pStyle w:val="CommentText"/>
        <w:rPr>
          <w:rFonts w:ascii="Garamond" w:hAnsi="Garamond" w:cs="Times"/>
          <w:sz w:val="32"/>
          <w:szCs w:val="32"/>
        </w:rPr>
      </w:pPr>
      <w:r w:rsidRPr="00D10C57">
        <w:rPr>
          <w:rFonts w:ascii="Garamond" w:hAnsi="Garamond"/>
        </w:rPr>
        <w:t xml:space="preserve">Reference: </w:t>
      </w:r>
      <w:r w:rsidRPr="00D10C57">
        <w:rPr>
          <w:rFonts w:ascii="Garamond" w:hAnsi="Garamond" w:cs="Times"/>
          <w:sz w:val="32"/>
          <w:szCs w:val="32"/>
        </w:rPr>
        <w:t xml:space="preserve">Australia, House of Representatives, </w:t>
      </w:r>
      <w:r w:rsidRPr="00D10C57">
        <w:rPr>
          <w:rFonts w:ascii="Garamond" w:hAnsi="Garamond" w:cs="Times"/>
          <w:i/>
          <w:iCs/>
          <w:sz w:val="32"/>
          <w:szCs w:val="32"/>
        </w:rPr>
        <w:t>Parliamentary Debates</w:t>
      </w:r>
      <w:r w:rsidRPr="00D10C57">
        <w:rPr>
          <w:rFonts w:ascii="Garamond" w:hAnsi="Garamond" w:cs="Times"/>
          <w:sz w:val="32"/>
          <w:szCs w:val="32"/>
        </w:rPr>
        <w:t xml:space="preserve"> (Hansard)</w:t>
      </w:r>
      <w:r>
        <w:rPr>
          <w:rFonts w:ascii="Garamond" w:hAnsi="Garamond" w:cs="Times"/>
          <w:sz w:val="32"/>
          <w:szCs w:val="32"/>
        </w:rPr>
        <w:t>, 14 November 1991 at 3174-3175.</w:t>
      </w:r>
    </w:p>
    <w:p w:rsidR="00781181" w:rsidRPr="00D10C57" w:rsidRDefault="00781181" w:rsidP="00781181">
      <w:pPr>
        <w:pStyle w:val="CommentText"/>
        <w:rPr>
          <w:rFonts w:ascii="Garamond" w:hAnsi="Garamond"/>
        </w:rPr>
      </w:pPr>
    </w:p>
    <w:p w:rsidR="00781181" w:rsidRPr="00D10C57" w:rsidRDefault="00781181" w:rsidP="00781181">
      <w:pPr>
        <w:widowControl w:val="0"/>
        <w:autoSpaceDE w:val="0"/>
        <w:autoSpaceDN w:val="0"/>
        <w:adjustRightInd w:val="0"/>
        <w:spacing w:after="0"/>
        <w:rPr>
          <w:rFonts w:ascii="Garamond" w:hAnsi="Garamond" w:cs="Times"/>
          <w:sz w:val="32"/>
          <w:szCs w:val="32"/>
        </w:rPr>
      </w:pPr>
      <w:r w:rsidRPr="00D10C57">
        <w:rPr>
          <w:rFonts w:ascii="Garamond" w:hAnsi="Garamond" w:cs="Times"/>
          <w:sz w:val="32"/>
          <w:szCs w:val="32"/>
        </w:rPr>
        <w:t>"The Bill gives the Federal Court an efficient and effective procedure to deal with multiple claims. Such a procedure is needed for two purposes. The first is to provide a real remedy where, although many people are affected and the total amount at issue is significant, each person's loss is small and not economically viable to recover in individual actions. It will thus give access to the courts to those in the community who have been effectively denied justice because of the high cost of taking action.</w:t>
      </w:r>
    </w:p>
    <w:p w:rsidR="00781181" w:rsidRPr="00D10C57" w:rsidRDefault="00781181" w:rsidP="00781181">
      <w:pPr>
        <w:pStyle w:val="CommentText"/>
        <w:rPr>
          <w:rFonts w:ascii="Garamond" w:hAnsi="Garamond"/>
        </w:rPr>
      </w:pPr>
      <w:r w:rsidRPr="00D10C57">
        <w:rPr>
          <w:rFonts w:ascii="Garamond" w:hAnsi="Garamond" w:cs="Times"/>
          <w:sz w:val="32"/>
          <w:szCs w:val="32"/>
        </w:rPr>
        <w:t>The second purpose of the Bill is to deal efficiently with the situation where the damages sought by each claimant are large enough to justify individual actions and a large number of persons wish to sue the respondent. The new procedure will mean that groups of persons, whether they be shareholders or investors, or people pursuing consumer claims, will be able to obtain redress and do so more cheaply and efficiently than would be the case with individual actions."</w:t>
      </w:r>
    </w:p>
  </w:comment>
  <w:comment w:id="2" w:author="James Cho" w:date="2013-06-29T10:44:00Z" w:initials="JC">
    <w:p w:rsidR="00781181" w:rsidRPr="00D10C57" w:rsidRDefault="00781181" w:rsidP="00781181">
      <w:pPr>
        <w:pStyle w:val="CommentText"/>
        <w:rPr>
          <w:rFonts w:ascii="Garamond" w:hAnsi="Garamond"/>
        </w:rPr>
      </w:pPr>
      <w:r w:rsidRPr="00D10C57">
        <w:rPr>
          <w:rStyle w:val="CommentReference"/>
          <w:rFonts w:ascii="Garamond" w:hAnsi="Garamond"/>
        </w:rPr>
        <w:annotationRef/>
      </w:r>
      <w:r w:rsidRPr="00D10C57">
        <w:rPr>
          <w:rFonts w:ascii="Garamond" w:hAnsi="Garamond"/>
        </w:rPr>
        <w:t>Unless you are going to develop on what these various types of claims are, it is perhaps irrelevant</w:t>
      </w:r>
      <w:r>
        <w:rPr>
          <w:rFonts w:ascii="Garamond" w:hAnsi="Garamond"/>
        </w:rPr>
        <w:t>.</w:t>
      </w:r>
    </w:p>
  </w:comment>
  <w:comment w:id="3" w:author="James Cho" w:date="2013-06-29T10:44:00Z" w:initials="JC">
    <w:p w:rsidR="00781181" w:rsidRDefault="00781181" w:rsidP="00781181">
      <w:pPr>
        <w:pStyle w:val="CommentText"/>
      </w:pPr>
      <w:r>
        <w:rPr>
          <w:rStyle w:val="CommentReference"/>
        </w:rPr>
        <w:annotationRef/>
      </w:r>
      <w:r>
        <w:t>Sorry, I am unsure as to what the “narrow drafting” is that is referred to in this sentence – and how it could be “weaponised” by defendants. I am guessing it is the American opt in system that you are critiquing?</w:t>
      </w:r>
    </w:p>
  </w:comment>
  <w:comment w:id="4" w:author="James Cho" w:date="2013-06-29T10:44:00Z" w:initials="JC">
    <w:p w:rsidR="00781181" w:rsidRDefault="00781181" w:rsidP="00781181">
      <w:pPr>
        <w:pStyle w:val="CommentText"/>
      </w:pPr>
      <w:r>
        <w:rPr>
          <w:rStyle w:val="CommentReference"/>
        </w:rPr>
        <w:annotationRef/>
      </w:r>
      <w:r>
        <w:t>Please be clear about what this section is – I presume it is the 1966 amendment?</w:t>
      </w:r>
    </w:p>
  </w:comment>
  <w:comment w:id="5" w:author="James Cho" w:date="2013-06-29T10:44:00Z" w:initials="JC">
    <w:p w:rsidR="00781181" w:rsidRDefault="00781181" w:rsidP="00781181">
      <w:pPr>
        <w:pStyle w:val="CommentText"/>
      </w:pPr>
      <w:r>
        <w:rPr>
          <w:rStyle w:val="CommentReference"/>
        </w:rPr>
        <w:annotationRef/>
      </w:r>
      <w:r>
        <w:t>Perhaps an unnecessary Segway to the next paragraph</w:t>
      </w:r>
    </w:p>
  </w:comment>
  <w:comment w:id="6" w:author="James Cho" w:date="2013-06-29T10:44:00Z" w:initials="JC">
    <w:p w:rsidR="00781181" w:rsidRDefault="00781181" w:rsidP="00781181">
      <w:pPr>
        <w:pStyle w:val="CommentText"/>
      </w:pPr>
      <w:r>
        <w:rPr>
          <w:rStyle w:val="CommentReference"/>
        </w:rPr>
        <w:annotationRef/>
      </w:r>
      <w:r>
        <w:t xml:space="preserve">I am not sure if this is a precise reading of the judgment – although it isn’t incorrect. Perhaps review the case and reconsider this sentence.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806" w:rsidRDefault="00830806" w:rsidP="00781181">
      <w:pPr>
        <w:spacing w:after="0"/>
      </w:pPr>
      <w:r>
        <w:separator/>
      </w:r>
    </w:p>
  </w:endnote>
  <w:endnote w:type="continuationSeparator" w:id="0">
    <w:p w:rsidR="00830806" w:rsidRDefault="00830806" w:rsidP="007811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806" w:rsidRDefault="00830806" w:rsidP="00781181">
      <w:pPr>
        <w:spacing w:after="0"/>
      </w:pPr>
      <w:r>
        <w:separator/>
      </w:r>
    </w:p>
  </w:footnote>
  <w:footnote w:type="continuationSeparator" w:id="0">
    <w:p w:rsidR="00830806" w:rsidRDefault="00830806" w:rsidP="00781181">
      <w:pPr>
        <w:spacing w:after="0"/>
      </w:pPr>
      <w:r>
        <w:continuationSeparator/>
      </w:r>
    </w:p>
  </w:footnote>
  <w:footnote w:id="1">
    <w:p w:rsidR="00781181" w:rsidRPr="004467DD" w:rsidRDefault="00781181" w:rsidP="00781181">
      <w:pPr>
        <w:pStyle w:val="FootnoteText"/>
        <w:rPr>
          <w:sz w:val="22"/>
        </w:rPr>
      </w:pPr>
      <w:r w:rsidRPr="004467DD">
        <w:rPr>
          <w:rStyle w:val="FootnoteReference"/>
          <w:sz w:val="22"/>
        </w:rPr>
        <w:footnoteRef/>
      </w:r>
      <w:r w:rsidRPr="004467DD">
        <w:rPr>
          <w:sz w:val="22"/>
        </w:rPr>
        <w:t xml:space="preserve"> </w:t>
      </w:r>
      <w:r w:rsidRPr="00D10C57">
        <w:rPr>
          <w:i/>
          <w:color w:val="FF0000"/>
          <w:sz w:val="18"/>
          <w:szCs w:val="20"/>
        </w:rPr>
        <w:t xml:space="preserve">Carnie v Esanda Finance Corporations Ltd </w:t>
      </w:r>
      <w:r w:rsidRPr="00D10C57">
        <w:rPr>
          <w:rFonts w:ascii="Times" w:hAnsi="Times"/>
          <w:color w:val="FF0000"/>
          <w:sz w:val="18"/>
        </w:rPr>
        <w:t xml:space="preserve">(1995) 182 CLR 398, at </w:t>
      </w:r>
      <w:r w:rsidRPr="004467DD">
        <w:rPr>
          <w:color w:val="FF0000"/>
          <w:sz w:val="18"/>
          <w:szCs w:val="20"/>
        </w:rPr>
        <w:t>3 as per Mason CJ, Deane and Dawson JJ</w:t>
      </w:r>
    </w:p>
  </w:footnote>
  <w:footnote w:id="2">
    <w:p w:rsidR="00781181" w:rsidRPr="00E750FF" w:rsidRDefault="00781181" w:rsidP="00781181">
      <w:pPr>
        <w:pStyle w:val="FootnoteText"/>
        <w:rPr>
          <w:color w:val="FF0000"/>
        </w:rPr>
      </w:pPr>
      <w:r w:rsidRPr="009C7697">
        <w:rPr>
          <w:rStyle w:val="FootnoteReference"/>
          <w:color w:val="FF0000"/>
          <w:sz w:val="16"/>
        </w:rPr>
        <w:footnoteRef/>
      </w:r>
      <w:r w:rsidRPr="009C7697">
        <w:rPr>
          <w:color w:val="FF0000"/>
          <w:sz w:val="16"/>
        </w:rPr>
        <w:t xml:space="preserve"> </w:t>
      </w:r>
      <w:r w:rsidRPr="009C7697">
        <w:rPr>
          <w:rFonts w:ascii="Times" w:hAnsi="Times" w:cs="Times"/>
          <w:color w:val="FF0000"/>
          <w:sz w:val="20"/>
          <w:szCs w:val="32"/>
        </w:rPr>
        <w:t xml:space="preserve">Report No 46 of the Australian Law Reform Commission </w:t>
      </w:r>
      <w:r w:rsidRPr="009C7697">
        <w:rPr>
          <w:rFonts w:ascii="Times" w:hAnsi="Times" w:cs="Times"/>
          <w:i/>
          <w:iCs/>
          <w:color w:val="FF0000"/>
          <w:sz w:val="20"/>
          <w:szCs w:val="32"/>
        </w:rPr>
        <w:t>Grouped Proceedings in the Federal Court</w:t>
      </w:r>
      <w:r>
        <w:rPr>
          <w:rFonts w:ascii="Times" w:hAnsi="Times" w:cs="Times"/>
          <w:i/>
          <w:iCs/>
          <w:color w:val="FF0000"/>
          <w:sz w:val="20"/>
          <w:szCs w:val="32"/>
        </w:rPr>
        <w:t xml:space="preserve">, </w:t>
      </w:r>
      <w:r>
        <w:rPr>
          <w:rFonts w:ascii="Times" w:hAnsi="Times" w:cs="Times"/>
          <w:iCs/>
          <w:color w:val="FF0000"/>
          <w:sz w:val="20"/>
          <w:szCs w:val="32"/>
        </w:rPr>
        <w:t xml:space="preserve">1988 </w:t>
      </w:r>
    </w:p>
  </w:footnote>
  <w:footnote w:id="3">
    <w:p w:rsidR="00781181" w:rsidRPr="004467DD" w:rsidRDefault="00781181" w:rsidP="00781181">
      <w:pPr>
        <w:pStyle w:val="FootnoteText"/>
        <w:rPr>
          <w:i/>
          <w:sz w:val="22"/>
        </w:rPr>
      </w:pPr>
      <w:r w:rsidRPr="004467DD">
        <w:rPr>
          <w:rStyle w:val="FootnoteReference"/>
          <w:sz w:val="22"/>
        </w:rPr>
        <w:footnoteRef/>
      </w:r>
      <w:r w:rsidRPr="004467DD">
        <w:rPr>
          <w:sz w:val="22"/>
        </w:rPr>
        <w:t xml:space="preserve"> </w:t>
      </w:r>
      <w:r w:rsidRPr="009C7697">
        <w:rPr>
          <w:color w:val="FF0000"/>
          <w:sz w:val="18"/>
        </w:rPr>
        <w:t xml:space="preserve">Under Part IV A of the Federal Court of Australia Act 1976 (Cth) pursuant to Federal Court of Australia Amendment Act 1991 (Cth), which was thereby followed in Victoria under Part 4A of the </w:t>
      </w:r>
      <w:r w:rsidRPr="009C7697">
        <w:rPr>
          <w:i/>
          <w:color w:val="FF0000"/>
          <w:sz w:val="18"/>
        </w:rPr>
        <w:t xml:space="preserve">Supreme Court Act 1986 (Vic) </w:t>
      </w:r>
      <w:r w:rsidRPr="009C7697">
        <w:rPr>
          <w:color w:val="FF0000"/>
          <w:sz w:val="18"/>
        </w:rPr>
        <w:t xml:space="preserve">and O 18A of the </w:t>
      </w:r>
      <w:r w:rsidRPr="009C7697">
        <w:rPr>
          <w:i/>
          <w:color w:val="FF0000"/>
          <w:sz w:val="18"/>
        </w:rPr>
        <w:t>Supreme Court (General Civil Procedure) Rules 2005 (Vic).</w:t>
      </w:r>
      <w:r w:rsidRPr="004467DD">
        <w:rPr>
          <w:i/>
          <w:sz w:val="18"/>
        </w:rPr>
        <w:t xml:space="preserve"> </w:t>
      </w:r>
      <w:r w:rsidRPr="004467DD">
        <w:rPr>
          <w:sz w:val="18"/>
        </w:rPr>
        <w:t xml:space="preserve"> </w:t>
      </w:r>
    </w:p>
  </w:footnote>
  <w:footnote w:id="4">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w:t>
      </w:r>
      <w:r w:rsidRPr="004467DD">
        <w:rPr>
          <w:sz w:val="18"/>
        </w:rPr>
        <w:t xml:space="preserve">Class Actions </w:t>
      </w:r>
      <w:proofErr w:type="gramStart"/>
      <w:r w:rsidRPr="004467DD">
        <w:rPr>
          <w:sz w:val="18"/>
        </w:rPr>
        <w:t>In</w:t>
      </w:r>
      <w:proofErr w:type="gramEnd"/>
      <w:r w:rsidRPr="004467DD">
        <w:rPr>
          <w:sz w:val="18"/>
        </w:rPr>
        <w:t xml:space="preserve"> Australia: The Year in Review 2011, </w:t>
      </w:r>
      <w:r w:rsidRPr="004467DD">
        <w:rPr>
          <w:i/>
          <w:sz w:val="18"/>
        </w:rPr>
        <w:t>King &amp; Wood Mallesons</w:t>
      </w:r>
      <w:r w:rsidRPr="004467DD">
        <w:rPr>
          <w:sz w:val="18"/>
        </w:rPr>
        <w:t xml:space="preserve"> &lt;</w:t>
      </w:r>
      <w:r w:rsidRPr="004467DD">
        <w:rPr>
          <w:sz w:val="22"/>
        </w:rPr>
        <w:t xml:space="preserve">   </w:t>
      </w:r>
      <w:hyperlink r:id="rId1" w:history="1">
        <w:r w:rsidRPr="004467DD">
          <w:rPr>
            <w:rStyle w:val="Hyperlink"/>
            <w:sz w:val="18"/>
          </w:rPr>
          <w:t>http://www.mallesons.com/Documents/ClassActions_2012_FINAL.pdf</w:t>
        </w:r>
      </w:hyperlink>
      <w:r w:rsidRPr="004467DD">
        <w:rPr>
          <w:sz w:val="18"/>
        </w:rPr>
        <w:t xml:space="preserve"> &gt; </w:t>
      </w:r>
      <w:r w:rsidRPr="004467DD">
        <w:rPr>
          <w:rFonts w:ascii="Times" w:hAnsi="Times"/>
          <w:sz w:val="18"/>
        </w:rPr>
        <w:t xml:space="preserve">6. </w:t>
      </w:r>
    </w:p>
  </w:footnote>
  <w:footnote w:id="5">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Ibid.</w:t>
      </w:r>
    </w:p>
  </w:footnote>
  <w:footnote w:id="6">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w:t>
      </w:r>
      <w:r w:rsidRPr="004467DD">
        <w:rPr>
          <w:sz w:val="18"/>
        </w:rPr>
        <w:t xml:space="preserve">Class Actions </w:t>
      </w:r>
      <w:proofErr w:type="gramStart"/>
      <w:r w:rsidRPr="004467DD">
        <w:rPr>
          <w:sz w:val="18"/>
        </w:rPr>
        <w:t>In</w:t>
      </w:r>
      <w:proofErr w:type="gramEnd"/>
      <w:r w:rsidRPr="004467DD">
        <w:rPr>
          <w:sz w:val="18"/>
        </w:rPr>
        <w:t xml:space="preserve"> Australia: An Overview, </w:t>
      </w:r>
      <w:r w:rsidRPr="004467DD">
        <w:rPr>
          <w:i/>
          <w:sz w:val="18"/>
        </w:rPr>
        <w:t>Clayton UTZ</w:t>
      </w:r>
      <w:r w:rsidRPr="004467DD">
        <w:rPr>
          <w:sz w:val="18"/>
        </w:rPr>
        <w:t xml:space="preserve"> &lt; </w:t>
      </w:r>
      <w:hyperlink r:id="rId2" w:history="1">
        <w:r w:rsidRPr="004467DD">
          <w:rPr>
            <w:rStyle w:val="Hyperlink"/>
            <w:sz w:val="18"/>
          </w:rPr>
          <w:t>http://www.claytonutz.com.au/docs/Class%20Actions_Aug04.pdf</w:t>
        </w:r>
      </w:hyperlink>
      <w:r w:rsidRPr="004467DD">
        <w:rPr>
          <w:sz w:val="18"/>
        </w:rPr>
        <w:t xml:space="preserve"> &gt; </w:t>
      </w:r>
      <w:r w:rsidRPr="004467DD">
        <w:rPr>
          <w:rFonts w:ascii="Times" w:hAnsi="Times"/>
          <w:sz w:val="18"/>
        </w:rPr>
        <w:t xml:space="preserve">1. </w:t>
      </w:r>
    </w:p>
  </w:footnote>
  <w:footnote w:id="7">
    <w:p w:rsidR="00781181" w:rsidRPr="004467DD" w:rsidRDefault="00781181" w:rsidP="00781181">
      <w:pPr>
        <w:rPr>
          <w:rFonts w:ascii="Times" w:hAnsi="Times"/>
          <w:sz w:val="18"/>
        </w:rPr>
      </w:pPr>
      <w:r w:rsidRPr="004467DD">
        <w:rPr>
          <w:rStyle w:val="FootnoteReference"/>
          <w:rFonts w:ascii="Times" w:hAnsi="Times"/>
          <w:sz w:val="18"/>
        </w:rPr>
        <w:footnoteRef/>
      </w:r>
      <w:r w:rsidRPr="004467DD">
        <w:rPr>
          <w:rFonts w:ascii="Times" w:hAnsi="Times"/>
          <w:sz w:val="18"/>
        </w:rPr>
        <w:t xml:space="preserve"> </w:t>
      </w:r>
      <w:proofErr w:type="gramStart"/>
      <w:r w:rsidRPr="004467DD">
        <w:rPr>
          <w:rFonts w:ascii="Times" w:hAnsi="Times"/>
          <w:i/>
          <w:sz w:val="18"/>
        </w:rPr>
        <w:t>Carnie v Esanda Finance Corporation</w:t>
      </w:r>
      <w:r w:rsidRPr="004467DD">
        <w:rPr>
          <w:rFonts w:ascii="Times" w:hAnsi="Times"/>
          <w:sz w:val="18"/>
        </w:rPr>
        <w:t xml:space="preserve"> (1995) 182 CLR 398, at 3-4.</w:t>
      </w:r>
      <w:proofErr w:type="gramEnd"/>
      <w:r w:rsidRPr="004467DD">
        <w:rPr>
          <w:rFonts w:ascii="Times" w:hAnsi="Times"/>
          <w:sz w:val="18"/>
        </w:rPr>
        <w:t xml:space="preserve"> </w:t>
      </w:r>
    </w:p>
  </w:footnote>
  <w:footnote w:id="8">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w:t>
      </w:r>
      <w:proofErr w:type="gramStart"/>
      <w:r w:rsidRPr="004467DD">
        <w:rPr>
          <w:rFonts w:ascii="Times" w:hAnsi="Times"/>
          <w:sz w:val="18"/>
        </w:rPr>
        <w:t>Cashman, page 1.</w:t>
      </w:r>
      <w:proofErr w:type="gramEnd"/>
      <w:r w:rsidRPr="004467DD">
        <w:rPr>
          <w:rFonts w:ascii="Times" w:hAnsi="Times"/>
          <w:sz w:val="18"/>
        </w:rPr>
        <w:t xml:space="preserve">  – FIND FULL </w:t>
      </w:r>
      <w:proofErr w:type="gramStart"/>
      <w:r w:rsidRPr="004467DD">
        <w:rPr>
          <w:rFonts w:ascii="Times" w:hAnsi="Times"/>
          <w:sz w:val="18"/>
        </w:rPr>
        <w:t>CITATION</w:t>
      </w:r>
      <w:r w:rsidRPr="00C03F10">
        <w:rPr>
          <w:rFonts w:ascii="Times" w:hAnsi="Times"/>
          <w:color w:val="FF0000"/>
          <w:sz w:val="18"/>
        </w:rPr>
        <w:t>(</w:t>
      </w:r>
      <w:proofErr w:type="gramEnd"/>
      <w:r w:rsidRPr="00C03F10">
        <w:rPr>
          <w:rFonts w:ascii="Times" w:hAnsi="Times"/>
          <w:color w:val="FF0000"/>
          <w:sz w:val="18"/>
        </w:rPr>
        <w:t>?)</w:t>
      </w:r>
    </w:p>
  </w:footnote>
  <w:footnote w:id="9">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w:t>
      </w:r>
      <w:r w:rsidRPr="004467DD">
        <w:rPr>
          <w:rFonts w:ascii="Times" w:hAnsi="Times"/>
          <w:i/>
          <w:sz w:val="18"/>
        </w:rPr>
        <w:t>Victorian Supreme Court Ac</w:t>
      </w:r>
      <w:r>
        <w:rPr>
          <w:rFonts w:ascii="Times" w:hAnsi="Times"/>
          <w:i/>
          <w:sz w:val="18"/>
        </w:rPr>
        <w:t>t</w:t>
      </w:r>
      <w:r w:rsidRPr="004467DD">
        <w:rPr>
          <w:rFonts w:ascii="Times" w:hAnsi="Times"/>
          <w:i/>
          <w:sz w:val="18"/>
        </w:rPr>
        <w:t xml:space="preserve"> 1986 </w:t>
      </w:r>
      <w:r>
        <w:rPr>
          <w:rFonts w:ascii="Times" w:hAnsi="Times"/>
          <w:sz w:val="18"/>
        </w:rPr>
        <w:t xml:space="preserve">(Vic) </w:t>
      </w:r>
      <w:r w:rsidRPr="004467DD">
        <w:rPr>
          <w:rFonts w:ascii="Times" w:hAnsi="Times"/>
          <w:sz w:val="18"/>
        </w:rPr>
        <w:t>s</w:t>
      </w:r>
      <w:r>
        <w:rPr>
          <w:rFonts w:ascii="Times" w:hAnsi="Times"/>
          <w:sz w:val="18"/>
        </w:rPr>
        <w:t xml:space="preserve">ection </w:t>
      </w:r>
      <w:proofErr w:type="gramStart"/>
      <w:r w:rsidRPr="004467DD">
        <w:rPr>
          <w:rFonts w:ascii="Times" w:hAnsi="Times"/>
          <w:sz w:val="18"/>
        </w:rPr>
        <w:t>33E(</w:t>
      </w:r>
      <w:proofErr w:type="gramEnd"/>
      <w:r w:rsidRPr="004467DD">
        <w:rPr>
          <w:rFonts w:ascii="Times" w:hAnsi="Times"/>
          <w:sz w:val="18"/>
        </w:rPr>
        <w:t xml:space="preserve">1). </w:t>
      </w:r>
    </w:p>
  </w:footnote>
  <w:footnote w:id="10">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Pr>
          <w:rFonts w:ascii="Times" w:hAnsi="Times"/>
          <w:sz w:val="18"/>
        </w:rPr>
        <w:t xml:space="preserve"> Ibid, section </w:t>
      </w:r>
      <w:r w:rsidRPr="004467DD">
        <w:rPr>
          <w:rFonts w:ascii="Times" w:hAnsi="Times"/>
          <w:sz w:val="18"/>
        </w:rPr>
        <w:t>33C.</w:t>
      </w:r>
    </w:p>
  </w:footnote>
  <w:footnote w:id="11">
    <w:p w:rsidR="00781181" w:rsidRPr="00C301F9" w:rsidRDefault="00781181" w:rsidP="00781181">
      <w:pPr>
        <w:pStyle w:val="FootnoteText"/>
      </w:pPr>
      <w:r>
        <w:rPr>
          <w:rStyle w:val="FootnoteReference"/>
        </w:rPr>
        <w:footnoteRef/>
      </w:r>
      <w:r>
        <w:t xml:space="preserve"> </w:t>
      </w:r>
      <w:r w:rsidRPr="00C301F9">
        <w:rPr>
          <w:i/>
          <w:color w:val="FF0000"/>
          <w:sz w:val="20"/>
        </w:rPr>
        <w:t xml:space="preserve">Carnie v Esanda Finance Corporation Ltd </w:t>
      </w:r>
      <w:r w:rsidRPr="00C301F9">
        <w:rPr>
          <w:color w:val="FF0000"/>
          <w:sz w:val="20"/>
        </w:rPr>
        <w:t>(1996) 38 NSWLR 465 at 469 as per Young J</w:t>
      </w:r>
    </w:p>
  </w:footnote>
  <w:footnote w:id="12">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w:t>
      </w:r>
      <w:r w:rsidRPr="004467DD">
        <w:rPr>
          <w:rFonts w:ascii="Times" w:hAnsi="Times"/>
          <w:i/>
          <w:sz w:val="18"/>
        </w:rPr>
        <w:t>Federal Civil Procedure Rules</w:t>
      </w:r>
      <w:r w:rsidRPr="004467DD">
        <w:rPr>
          <w:rFonts w:ascii="Times" w:hAnsi="Times"/>
          <w:sz w:val="18"/>
        </w:rPr>
        <w:t xml:space="preserve">, s. 23. </w:t>
      </w:r>
    </w:p>
  </w:footnote>
  <w:footnote w:id="13">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Vince Morabito, ‘Clashing Classes Down Under – Evaluating Australia’s Competing Class Actions Through Empirical and Comparative Perspectices’ (2012) 27 </w:t>
      </w:r>
      <w:r w:rsidRPr="004467DD">
        <w:rPr>
          <w:rFonts w:ascii="Times" w:hAnsi="Times"/>
          <w:i/>
          <w:color w:val="000000"/>
          <w:sz w:val="18"/>
        </w:rPr>
        <w:t>Connecticut Journal of International Law</w:t>
      </w:r>
      <w:r w:rsidRPr="004467DD">
        <w:rPr>
          <w:rFonts w:ascii="Times" w:hAnsi="Times"/>
          <w:color w:val="000000"/>
          <w:sz w:val="18"/>
        </w:rPr>
        <w:t xml:space="preserve"> 205</w:t>
      </w:r>
      <w:r w:rsidRPr="004467DD">
        <w:rPr>
          <w:rFonts w:ascii="Times" w:hAnsi="Times"/>
          <w:sz w:val="18"/>
        </w:rPr>
        <w:t xml:space="preserve">, 215.                                                        </w:t>
      </w:r>
    </w:p>
  </w:footnote>
  <w:footnote w:id="14">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John C. Coffee, Jr, ‘Class Wars: The Dilemma of the Mass Tort Class Action’ (1995) 95 (6) </w:t>
      </w:r>
      <w:r w:rsidRPr="004467DD">
        <w:rPr>
          <w:rFonts w:ascii="Times" w:hAnsi="Times"/>
          <w:i/>
          <w:color w:val="000000"/>
          <w:sz w:val="18"/>
        </w:rPr>
        <w:t>Columbia Law Review</w:t>
      </w:r>
      <w:r w:rsidRPr="004467DD">
        <w:rPr>
          <w:rFonts w:ascii="Times" w:hAnsi="Times"/>
          <w:color w:val="000000"/>
          <w:sz w:val="18"/>
        </w:rPr>
        <w:t xml:space="preserve"> 1343</w:t>
      </w:r>
      <w:r w:rsidRPr="004467DD">
        <w:rPr>
          <w:rFonts w:ascii="Times" w:hAnsi="Times"/>
          <w:sz w:val="18"/>
        </w:rPr>
        <w:t xml:space="preserve">, 1452.                                                                                          </w:t>
      </w:r>
    </w:p>
  </w:footnote>
  <w:footnote w:id="15">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Ibid</w:t>
      </w:r>
      <w:proofErr w:type="gramStart"/>
      <w:r w:rsidRPr="004467DD">
        <w:rPr>
          <w:rFonts w:ascii="Times" w:hAnsi="Times"/>
          <w:sz w:val="18"/>
        </w:rPr>
        <w:t>,1</w:t>
      </w:r>
      <w:proofErr w:type="gramEnd"/>
      <w:r w:rsidRPr="004467DD">
        <w:rPr>
          <w:rFonts w:ascii="Times" w:hAnsi="Times"/>
          <w:sz w:val="18"/>
        </w:rPr>
        <w:t xml:space="preserve"> 446. </w:t>
      </w:r>
    </w:p>
  </w:footnote>
  <w:footnote w:id="16">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w:t>
      </w:r>
      <w:proofErr w:type="gramStart"/>
      <w:r w:rsidRPr="004467DD">
        <w:rPr>
          <w:rFonts w:ascii="Times" w:hAnsi="Times"/>
          <w:sz w:val="18"/>
        </w:rPr>
        <w:t>Ibid 10, 1447.</w:t>
      </w:r>
      <w:proofErr w:type="gramEnd"/>
    </w:p>
  </w:footnote>
  <w:footnote w:id="17">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Arthur R. Miller, ‘Of Frankenstein Monsters and Shining Knights: Myth, Reality, and </w:t>
      </w:r>
      <w:proofErr w:type="gramStart"/>
      <w:r w:rsidRPr="004467DD">
        <w:rPr>
          <w:rFonts w:ascii="Times" w:hAnsi="Times"/>
          <w:sz w:val="18"/>
        </w:rPr>
        <w:t>The</w:t>
      </w:r>
      <w:proofErr w:type="gramEnd"/>
      <w:r w:rsidRPr="004467DD">
        <w:rPr>
          <w:rFonts w:ascii="Times" w:hAnsi="Times"/>
          <w:sz w:val="18"/>
        </w:rPr>
        <w:t xml:space="preserve"> “Class Action Problem”’ (1979) 92 </w:t>
      </w:r>
      <w:r w:rsidRPr="004467DD">
        <w:rPr>
          <w:rFonts w:ascii="Times" w:hAnsi="Times"/>
          <w:i/>
          <w:color w:val="000000"/>
          <w:sz w:val="18"/>
        </w:rPr>
        <w:t>Harvard Law Review</w:t>
      </w:r>
      <w:r w:rsidRPr="004467DD">
        <w:rPr>
          <w:rFonts w:ascii="Times" w:hAnsi="Times"/>
          <w:color w:val="000000"/>
          <w:sz w:val="18"/>
        </w:rPr>
        <w:t xml:space="preserve"> 664</w:t>
      </w:r>
      <w:r w:rsidRPr="004467DD">
        <w:rPr>
          <w:rFonts w:ascii="Times" w:hAnsi="Times"/>
          <w:sz w:val="18"/>
        </w:rPr>
        <w:t xml:space="preserve">, 674.                                                                                 </w:t>
      </w:r>
    </w:p>
  </w:footnote>
  <w:footnote w:id="18">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w:t>
      </w:r>
      <w:proofErr w:type="gramStart"/>
      <w:r w:rsidRPr="004467DD">
        <w:rPr>
          <w:rFonts w:ascii="Times" w:hAnsi="Times"/>
          <w:sz w:val="18"/>
        </w:rPr>
        <w:t>Ibid, 668.</w:t>
      </w:r>
      <w:proofErr w:type="gramEnd"/>
      <w:r w:rsidRPr="004467DD">
        <w:rPr>
          <w:rFonts w:ascii="Times" w:hAnsi="Times"/>
          <w:sz w:val="18"/>
        </w:rPr>
        <w:t xml:space="preserve"> </w:t>
      </w:r>
    </w:p>
  </w:footnote>
  <w:footnote w:id="19">
    <w:p w:rsidR="00781181" w:rsidRPr="004467DD" w:rsidRDefault="00781181" w:rsidP="00781181">
      <w:pPr>
        <w:pStyle w:val="FootnoteText"/>
        <w:rPr>
          <w:sz w:val="22"/>
        </w:rPr>
      </w:pPr>
      <w:r w:rsidRPr="004467DD">
        <w:rPr>
          <w:rStyle w:val="FootnoteReference"/>
          <w:rFonts w:ascii="Times" w:hAnsi="Times"/>
          <w:sz w:val="18"/>
        </w:rPr>
        <w:footnoteRef/>
      </w:r>
      <w:r w:rsidRPr="004467DD">
        <w:rPr>
          <w:rFonts w:ascii="Times" w:hAnsi="Times"/>
          <w:sz w:val="18"/>
        </w:rPr>
        <w:t xml:space="preserve"> </w:t>
      </w:r>
      <w:proofErr w:type="gramStart"/>
      <w:r w:rsidRPr="004467DD">
        <w:rPr>
          <w:rFonts w:ascii="Times" w:hAnsi="Times"/>
          <w:sz w:val="18"/>
        </w:rPr>
        <w:t>Ibid 13, 669.</w:t>
      </w:r>
      <w:proofErr w:type="gramEnd"/>
    </w:p>
  </w:footnote>
  <w:footnote w:id="20">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Stuart Clark and Christina Harris, ‘</w:t>
      </w:r>
      <w:proofErr w:type="gramStart"/>
      <w:r w:rsidRPr="004467DD">
        <w:rPr>
          <w:rFonts w:ascii="Times" w:hAnsi="Times"/>
          <w:sz w:val="18"/>
        </w:rPr>
        <w:t>The</w:t>
      </w:r>
      <w:proofErr w:type="gramEnd"/>
      <w:r w:rsidRPr="004467DD">
        <w:rPr>
          <w:rFonts w:ascii="Times" w:hAnsi="Times"/>
          <w:sz w:val="18"/>
        </w:rPr>
        <w:t xml:space="preserve"> Push to Reform Class Action Procedure in Australia: Evolution or Revolution?’ </w:t>
      </w:r>
      <w:proofErr w:type="gramStart"/>
      <w:r w:rsidRPr="004467DD">
        <w:rPr>
          <w:rFonts w:ascii="Times" w:hAnsi="Times"/>
          <w:sz w:val="18"/>
        </w:rPr>
        <w:t xml:space="preserve">(2008) 32 </w:t>
      </w:r>
      <w:r w:rsidRPr="004467DD">
        <w:rPr>
          <w:rFonts w:ascii="Times" w:hAnsi="Times"/>
          <w:i/>
          <w:color w:val="000000"/>
          <w:sz w:val="18"/>
        </w:rPr>
        <w:t>Melbourne University Law Review</w:t>
      </w:r>
      <w:r w:rsidRPr="004467DD">
        <w:rPr>
          <w:rFonts w:ascii="Times" w:hAnsi="Times"/>
          <w:color w:val="000000"/>
          <w:sz w:val="18"/>
        </w:rPr>
        <w:t xml:space="preserve"> 775</w:t>
      </w:r>
      <w:r w:rsidRPr="004467DD">
        <w:rPr>
          <w:rFonts w:ascii="Times" w:hAnsi="Times"/>
          <w:sz w:val="18"/>
        </w:rPr>
        <w:t>, 782.</w:t>
      </w:r>
      <w:proofErr w:type="gramEnd"/>
      <w:r w:rsidRPr="004467DD">
        <w:rPr>
          <w:rFonts w:ascii="Times" w:hAnsi="Times"/>
          <w:sz w:val="18"/>
        </w:rPr>
        <w:t xml:space="preserve">                                                                                                     </w:t>
      </w:r>
    </w:p>
  </w:footnote>
  <w:footnote w:id="21">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w:t>
      </w:r>
      <w:proofErr w:type="gramStart"/>
      <w:r w:rsidRPr="004467DD">
        <w:rPr>
          <w:rFonts w:ascii="Times" w:hAnsi="Times"/>
          <w:sz w:val="18"/>
        </w:rPr>
        <w:t>Ibid, 794.</w:t>
      </w:r>
      <w:proofErr w:type="gramEnd"/>
    </w:p>
  </w:footnote>
  <w:footnote w:id="22">
    <w:p w:rsidR="00781181" w:rsidRPr="004467DD" w:rsidRDefault="00781181" w:rsidP="00781181">
      <w:pPr>
        <w:pStyle w:val="FootnoteText"/>
        <w:rPr>
          <w:sz w:val="22"/>
        </w:rPr>
      </w:pPr>
      <w:r w:rsidRPr="004467DD">
        <w:rPr>
          <w:rStyle w:val="FootnoteReference"/>
          <w:rFonts w:ascii="Times" w:hAnsi="Times"/>
          <w:sz w:val="18"/>
        </w:rPr>
        <w:footnoteRef/>
      </w:r>
      <w:r w:rsidRPr="004467DD">
        <w:rPr>
          <w:rFonts w:ascii="Times" w:hAnsi="Times"/>
          <w:sz w:val="18"/>
        </w:rPr>
        <w:t xml:space="preserve"> </w:t>
      </w:r>
      <w:proofErr w:type="gramStart"/>
      <w:r w:rsidRPr="004467DD">
        <w:rPr>
          <w:rFonts w:ascii="Times" w:hAnsi="Times"/>
          <w:sz w:val="18"/>
        </w:rPr>
        <w:t>Ibid 6, s. 33N.</w:t>
      </w:r>
      <w:proofErr w:type="gramEnd"/>
      <w:r w:rsidRPr="004467DD">
        <w:rPr>
          <w:sz w:val="22"/>
        </w:rPr>
        <w:t xml:space="preserve"> </w:t>
      </w:r>
    </w:p>
  </w:footnote>
  <w:footnote w:id="23">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Ibid.</w:t>
      </w:r>
    </w:p>
  </w:footnote>
  <w:footnote w:id="24">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Ibid.</w:t>
      </w:r>
    </w:p>
  </w:footnote>
  <w:footnote w:id="25">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w:t>
      </w:r>
      <w:proofErr w:type="gramStart"/>
      <w:r w:rsidRPr="004467DD">
        <w:rPr>
          <w:rFonts w:ascii="Times" w:hAnsi="Times"/>
          <w:i/>
          <w:sz w:val="18"/>
        </w:rPr>
        <w:t xml:space="preserve">Hall v Australian Finance Direct Ltd (No 2) </w:t>
      </w:r>
      <w:r w:rsidRPr="004467DD">
        <w:rPr>
          <w:rFonts w:ascii="Times" w:hAnsi="Times"/>
          <w:sz w:val="18"/>
        </w:rPr>
        <w:t>[2007] VSC 233, at 51.</w:t>
      </w:r>
      <w:proofErr w:type="gramEnd"/>
      <w:r w:rsidRPr="004467DD">
        <w:rPr>
          <w:rFonts w:ascii="Times" w:hAnsi="Times"/>
          <w:sz w:val="18"/>
        </w:rPr>
        <w:t xml:space="preserve"> </w:t>
      </w:r>
    </w:p>
  </w:footnote>
  <w:footnote w:id="26">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Elliott J. Weiss and John S. Beckerman, ‘Let the Money Do the Monitoring: How Institutional Investors Can Reduce Agency Costs in Securities Class Actions’ (1995) 104 </w:t>
      </w:r>
      <w:r w:rsidRPr="004467DD">
        <w:rPr>
          <w:rFonts w:ascii="Times" w:hAnsi="Times"/>
          <w:i/>
          <w:color w:val="000000"/>
          <w:sz w:val="18"/>
        </w:rPr>
        <w:t>The Yale Law Review</w:t>
      </w:r>
      <w:r w:rsidRPr="004467DD">
        <w:rPr>
          <w:rFonts w:ascii="Times" w:hAnsi="Times"/>
          <w:color w:val="000000"/>
          <w:sz w:val="18"/>
        </w:rPr>
        <w:t xml:space="preserve"> 2053</w:t>
      </w:r>
      <w:r w:rsidRPr="004467DD">
        <w:rPr>
          <w:rFonts w:ascii="Times" w:hAnsi="Times"/>
          <w:sz w:val="18"/>
        </w:rPr>
        <w:t>, 2074.</w:t>
      </w:r>
    </w:p>
  </w:footnote>
  <w:footnote w:id="27">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w:t>
      </w:r>
      <w:proofErr w:type="gramStart"/>
      <w:r w:rsidRPr="004467DD">
        <w:rPr>
          <w:rFonts w:ascii="Times" w:hAnsi="Times"/>
          <w:sz w:val="18"/>
        </w:rPr>
        <w:t>Ibid 16, 776.</w:t>
      </w:r>
      <w:proofErr w:type="gramEnd"/>
      <w:r w:rsidRPr="004467DD">
        <w:rPr>
          <w:rFonts w:ascii="Times" w:hAnsi="Times"/>
          <w:sz w:val="18"/>
        </w:rPr>
        <w:t xml:space="preserve"> </w:t>
      </w:r>
    </w:p>
  </w:footnote>
  <w:footnote w:id="28">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Bernard Murphy and Camille Cameron, ‘Access to Justice and the Evolution of Class Action Litigation in Australia’ (2006) 30 </w:t>
      </w:r>
      <w:r w:rsidRPr="004467DD">
        <w:rPr>
          <w:rFonts w:ascii="Times" w:hAnsi="Times"/>
          <w:i/>
          <w:color w:val="000000"/>
          <w:sz w:val="18"/>
        </w:rPr>
        <w:t>Melbourne University Law Review</w:t>
      </w:r>
      <w:r w:rsidRPr="004467DD">
        <w:rPr>
          <w:rFonts w:ascii="Times" w:hAnsi="Times"/>
          <w:color w:val="000000"/>
          <w:sz w:val="18"/>
        </w:rPr>
        <w:t xml:space="preserve"> 399</w:t>
      </w:r>
      <w:r w:rsidRPr="004467DD">
        <w:rPr>
          <w:rFonts w:ascii="Times" w:hAnsi="Times"/>
          <w:sz w:val="18"/>
        </w:rPr>
        <w:t xml:space="preserve">, 417-418.                                                                                                     </w:t>
      </w:r>
    </w:p>
  </w:footnote>
  <w:footnote w:id="29">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w:t>
      </w:r>
      <w:proofErr w:type="gramStart"/>
      <w:r w:rsidRPr="004467DD">
        <w:rPr>
          <w:rFonts w:ascii="Times" w:hAnsi="Times"/>
          <w:sz w:val="18"/>
        </w:rPr>
        <w:t>[2002] VSC 446 at 12.</w:t>
      </w:r>
      <w:proofErr w:type="gramEnd"/>
    </w:p>
  </w:footnote>
  <w:footnote w:id="30">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w:t>
      </w:r>
      <w:proofErr w:type="gramStart"/>
      <w:r w:rsidRPr="004467DD">
        <w:rPr>
          <w:rFonts w:ascii="Times" w:hAnsi="Times"/>
          <w:sz w:val="18"/>
        </w:rPr>
        <w:t>Ibid 6.</w:t>
      </w:r>
      <w:proofErr w:type="gramEnd"/>
      <w:r w:rsidRPr="004467DD">
        <w:rPr>
          <w:rFonts w:ascii="Times" w:hAnsi="Times"/>
          <w:sz w:val="18"/>
        </w:rPr>
        <w:t xml:space="preserve"> </w:t>
      </w:r>
    </w:p>
  </w:footnote>
  <w:footnote w:id="31">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w:t>
      </w:r>
      <w:proofErr w:type="gramStart"/>
      <w:r w:rsidRPr="004467DD">
        <w:rPr>
          <w:rFonts w:ascii="Times" w:hAnsi="Times"/>
          <w:sz w:val="18"/>
        </w:rPr>
        <w:t>Ibid 6.</w:t>
      </w:r>
      <w:proofErr w:type="gramEnd"/>
      <w:r w:rsidRPr="004467DD">
        <w:rPr>
          <w:rFonts w:ascii="Times" w:hAnsi="Times"/>
          <w:sz w:val="18"/>
        </w:rPr>
        <w:t xml:space="preserve"> </w:t>
      </w:r>
    </w:p>
  </w:footnote>
  <w:footnote w:id="32">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w:t>
      </w:r>
      <w:proofErr w:type="gramStart"/>
      <w:r w:rsidRPr="004467DD">
        <w:rPr>
          <w:rFonts w:ascii="Times" w:hAnsi="Times"/>
          <w:sz w:val="18"/>
        </w:rPr>
        <w:t>Ibid, 23.</w:t>
      </w:r>
      <w:proofErr w:type="gramEnd"/>
      <w:r w:rsidRPr="004467DD">
        <w:rPr>
          <w:rFonts w:ascii="Times" w:hAnsi="Times"/>
          <w:sz w:val="18"/>
        </w:rPr>
        <w:t xml:space="preserve"> </w:t>
      </w:r>
    </w:p>
  </w:footnote>
  <w:footnote w:id="33">
    <w:p w:rsidR="00781181" w:rsidRPr="004467DD" w:rsidRDefault="00781181" w:rsidP="00781181">
      <w:pPr>
        <w:pStyle w:val="FootnoteText"/>
        <w:rPr>
          <w:rFonts w:ascii="Times" w:hAnsi="Times"/>
          <w:sz w:val="18"/>
        </w:rPr>
      </w:pPr>
      <w:r w:rsidRPr="004467DD">
        <w:rPr>
          <w:rStyle w:val="FootnoteReference"/>
          <w:rFonts w:ascii="Times" w:hAnsi="Times"/>
          <w:sz w:val="18"/>
        </w:rPr>
        <w:footnoteRef/>
      </w:r>
      <w:r w:rsidRPr="004467DD">
        <w:rPr>
          <w:rFonts w:ascii="Times" w:hAnsi="Times"/>
          <w:sz w:val="18"/>
        </w:rPr>
        <w:t xml:space="preserve"> </w:t>
      </w:r>
      <w:proofErr w:type="gramStart"/>
      <w:r w:rsidRPr="004467DD">
        <w:rPr>
          <w:rFonts w:ascii="Times" w:hAnsi="Times"/>
          <w:sz w:val="18"/>
        </w:rPr>
        <w:t xml:space="preserve">Darren Grey and Madeleine Heffernan, ‘Bushfire Class Action’, </w:t>
      </w:r>
      <w:r w:rsidRPr="004467DD">
        <w:rPr>
          <w:rFonts w:ascii="Times" w:hAnsi="Times"/>
          <w:i/>
          <w:sz w:val="18"/>
        </w:rPr>
        <w:t xml:space="preserve">The Age </w:t>
      </w:r>
      <w:r w:rsidRPr="004467DD">
        <w:rPr>
          <w:rFonts w:ascii="Times" w:hAnsi="Times"/>
          <w:sz w:val="18"/>
        </w:rPr>
        <w:t xml:space="preserve">(Online) 8 August 2012 &lt; </w:t>
      </w:r>
      <w:hyperlink r:id="rId3" w:history="1">
        <w:r w:rsidRPr="004467DD">
          <w:rPr>
            <w:rStyle w:val="Hyperlink"/>
            <w:rFonts w:ascii="Times" w:hAnsi="Times"/>
            <w:sz w:val="18"/>
          </w:rPr>
          <w:t>http://www.theage.com.au/victoria/bushfire-class-action-20120806-23qfe.html#</w:t>
        </w:r>
      </w:hyperlink>
      <w:r w:rsidRPr="004467DD">
        <w:rPr>
          <w:rFonts w:ascii="Times" w:hAnsi="Times"/>
          <w:sz w:val="18"/>
        </w:rPr>
        <w:t xml:space="preserve"> &gt; 20 April 2013.</w:t>
      </w:r>
      <w:proofErr w:type="gramEnd"/>
      <w:r w:rsidRPr="004467DD">
        <w:rPr>
          <w:rFonts w:ascii="Times" w:hAnsi="Times"/>
          <w:sz w:val="18"/>
        </w:rPr>
        <w:t xml:space="preserve"> </w:t>
      </w:r>
    </w:p>
  </w:footnote>
  <w:footnote w:id="34">
    <w:p w:rsidR="00781181" w:rsidRPr="004467DD" w:rsidRDefault="00781181" w:rsidP="00781181">
      <w:pPr>
        <w:pStyle w:val="FootnoteText"/>
        <w:rPr>
          <w:sz w:val="22"/>
        </w:rPr>
      </w:pPr>
      <w:r w:rsidRPr="004467DD">
        <w:rPr>
          <w:rStyle w:val="FootnoteReference"/>
          <w:rFonts w:ascii="Times" w:hAnsi="Times"/>
          <w:sz w:val="18"/>
        </w:rPr>
        <w:footnoteRef/>
      </w:r>
      <w:r w:rsidRPr="004467DD">
        <w:rPr>
          <w:rFonts w:ascii="Times" w:hAnsi="Times"/>
          <w:sz w:val="18"/>
        </w:rPr>
        <w:t xml:space="preserve"> Ibid 6, </w:t>
      </w:r>
      <w:proofErr w:type="gramStart"/>
      <w:r w:rsidRPr="004467DD">
        <w:rPr>
          <w:rFonts w:ascii="Times" w:hAnsi="Times"/>
          <w:sz w:val="18"/>
        </w:rPr>
        <w:t>s.33N(</w:t>
      </w:r>
      <w:proofErr w:type="gramEnd"/>
      <w:r w:rsidRPr="004467DD">
        <w:rPr>
          <w:rFonts w:ascii="Times" w:hAnsi="Times"/>
          <w:sz w:val="18"/>
        </w:rPr>
        <w:t>1)(d).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5375"/>
    <w:multiLevelType w:val="hybridMultilevel"/>
    <w:tmpl w:val="E452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81"/>
    <w:rsid w:val="001043F5"/>
    <w:rsid w:val="00781181"/>
    <w:rsid w:val="008308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81"/>
    <w:pPr>
      <w:spacing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81181"/>
  </w:style>
  <w:style w:type="character" w:customStyle="1" w:styleId="FootnoteTextChar">
    <w:name w:val="Footnote Text Char"/>
    <w:basedOn w:val="DefaultParagraphFont"/>
    <w:link w:val="FootnoteText"/>
    <w:uiPriority w:val="99"/>
    <w:rsid w:val="00781181"/>
    <w:rPr>
      <w:rFonts w:ascii="Cambria" w:eastAsia="Cambria" w:hAnsi="Cambria" w:cs="Times New Roman"/>
      <w:sz w:val="24"/>
      <w:szCs w:val="24"/>
      <w:lang w:val="en-US"/>
    </w:rPr>
  </w:style>
  <w:style w:type="character" w:styleId="FootnoteReference">
    <w:name w:val="footnote reference"/>
    <w:uiPriority w:val="99"/>
    <w:unhideWhenUsed/>
    <w:rsid w:val="00781181"/>
    <w:rPr>
      <w:vertAlign w:val="superscript"/>
    </w:rPr>
  </w:style>
  <w:style w:type="character" w:styleId="Hyperlink">
    <w:name w:val="Hyperlink"/>
    <w:uiPriority w:val="99"/>
    <w:unhideWhenUsed/>
    <w:rsid w:val="00781181"/>
    <w:rPr>
      <w:color w:val="0000FF"/>
      <w:u w:val="single"/>
    </w:rPr>
  </w:style>
  <w:style w:type="character" w:styleId="CommentReference">
    <w:name w:val="annotation reference"/>
    <w:rsid w:val="00781181"/>
    <w:rPr>
      <w:sz w:val="18"/>
      <w:szCs w:val="18"/>
    </w:rPr>
  </w:style>
  <w:style w:type="paragraph" w:styleId="CommentText">
    <w:name w:val="annotation text"/>
    <w:basedOn w:val="Normal"/>
    <w:link w:val="CommentTextChar"/>
    <w:rsid w:val="00781181"/>
  </w:style>
  <w:style w:type="character" w:customStyle="1" w:styleId="CommentTextChar">
    <w:name w:val="Comment Text Char"/>
    <w:basedOn w:val="DefaultParagraphFont"/>
    <w:link w:val="CommentText"/>
    <w:rsid w:val="00781181"/>
    <w:rPr>
      <w:rFonts w:ascii="Cambria" w:eastAsia="Cambria" w:hAnsi="Cambria" w:cs="Times New Roman"/>
      <w:sz w:val="24"/>
      <w:szCs w:val="24"/>
      <w:lang w:val="en-US"/>
    </w:rPr>
  </w:style>
  <w:style w:type="paragraph" w:customStyle="1" w:styleId="TableContents">
    <w:name w:val="Table Contents"/>
    <w:basedOn w:val="Normal"/>
    <w:rsid w:val="00781181"/>
    <w:pPr>
      <w:widowControl w:val="0"/>
      <w:suppressLineNumbers/>
      <w:suppressAutoHyphens/>
      <w:spacing w:after="0"/>
    </w:pPr>
    <w:rPr>
      <w:rFonts w:ascii="Times New Roman" w:eastAsia="Arial Unicode MS" w:hAnsi="Times New Roman"/>
      <w:kern w:val="2"/>
      <w:lang w:eastAsia="en-AU"/>
    </w:rPr>
  </w:style>
  <w:style w:type="paragraph" w:styleId="BalloonText">
    <w:name w:val="Balloon Text"/>
    <w:basedOn w:val="Normal"/>
    <w:link w:val="BalloonTextChar"/>
    <w:uiPriority w:val="99"/>
    <w:semiHidden/>
    <w:unhideWhenUsed/>
    <w:rsid w:val="0078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181"/>
    <w:rPr>
      <w:rFonts w:ascii="Tahoma" w:eastAsia="Cambr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81"/>
    <w:pPr>
      <w:spacing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81181"/>
  </w:style>
  <w:style w:type="character" w:customStyle="1" w:styleId="FootnoteTextChar">
    <w:name w:val="Footnote Text Char"/>
    <w:basedOn w:val="DefaultParagraphFont"/>
    <w:link w:val="FootnoteText"/>
    <w:uiPriority w:val="99"/>
    <w:rsid w:val="00781181"/>
    <w:rPr>
      <w:rFonts w:ascii="Cambria" w:eastAsia="Cambria" w:hAnsi="Cambria" w:cs="Times New Roman"/>
      <w:sz w:val="24"/>
      <w:szCs w:val="24"/>
      <w:lang w:val="en-US"/>
    </w:rPr>
  </w:style>
  <w:style w:type="character" w:styleId="FootnoteReference">
    <w:name w:val="footnote reference"/>
    <w:uiPriority w:val="99"/>
    <w:unhideWhenUsed/>
    <w:rsid w:val="00781181"/>
    <w:rPr>
      <w:vertAlign w:val="superscript"/>
    </w:rPr>
  </w:style>
  <w:style w:type="character" w:styleId="Hyperlink">
    <w:name w:val="Hyperlink"/>
    <w:uiPriority w:val="99"/>
    <w:unhideWhenUsed/>
    <w:rsid w:val="00781181"/>
    <w:rPr>
      <w:color w:val="0000FF"/>
      <w:u w:val="single"/>
    </w:rPr>
  </w:style>
  <w:style w:type="character" w:styleId="CommentReference">
    <w:name w:val="annotation reference"/>
    <w:rsid w:val="00781181"/>
    <w:rPr>
      <w:sz w:val="18"/>
      <w:szCs w:val="18"/>
    </w:rPr>
  </w:style>
  <w:style w:type="paragraph" w:styleId="CommentText">
    <w:name w:val="annotation text"/>
    <w:basedOn w:val="Normal"/>
    <w:link w:val="CommentTextChar"/>
    <w:rsid w:val="00781181"/>
  </w:style>
  <w:style w:type="character" w:customStyle="1" w:styleId="CommentTextChar">
    <w:name w:val="Comment Text Char"/>
    <w:basedOn w:val="DefaultParagraphFont"/>
    <w:link w:val="CommentText"/>
    <w:rsid w:val="00781181"/>
    <w:rPr>
      <w:rFonts w:ascii="Cambria" w:eastAsia="Cambria" w:hAnsi="Cambria" w:cs="Times New Roman"/>
      <w:sz w:val="24"/>
      <w:szCs w:val="24"/>
      <w:lang w:val="en-US"/>
    </w:rPr>
  </w:style>
  <w:style w:type="paragraph" w:customStyle="1" w:styleId="TableContents">
    <w:name w:val="Table Contents"/>
    <w:basedOn w:val="Normal"/>
    <w:rsid w:val="00781181"/>
    <w:pPr>
      <w:widowControl w:val="0"/>
      <w:suppressLineNumbers/>
      <w:suppressAutoHyphens/>
      <w:spacing w:after="0"/>
    </w:pPr>
    <w:rPr>
      <w:rFonts w:ascii="Times New Roman" w:eastAsia="Arial Unicode MS" w:hAnsi="Times New Roman"/>
      <w:kern w:val="2"/>
      <w:lang w:eastAsia="en-AU"/>
    </w:rPr>
  </w:style>
  <w:style w:type="paragraph" w:styleId="BalloonText">
    <w:name w:val="Balloon Text"/>
    <w:basedOn w:val="Normal"/>
    <w:link w:val="BalloonTextChar"/>
    <w:uiPriority w:val="99"/>
    <w:semiHidden/>
    <w:unhideWhenUsed/>
    <w:rsid w:val="0078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181"/>
    <w:rPr>
      <w:rFonts w:ascii="Tahoma" w:eastAsia="Cambr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heage.com.au/victoria/bushfire-class-action-20120806-23qfe.html" TargetMode="External"/><Relationship Id="rId2" Type="http://schemas.openxmlformats.org/officeDocument/2006/relationships/hyperlink" Target="http://www.claytonutz.com.au/docs/Class%20Actions_Aug04.pdf" TargetMode="External"/><Relationship Id="rId1" Type="http://schemas.openxmlformats.org/officeDocument/2006/relationships/hyperlink" Target="http://www.mallesons.com/Documents/ClassActions_201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cp:lastModifiedBy>
  <cp:revision>1</cp:revision>
  <dcterms:created xsi:type="dcterms:W3CDTF">2013-06-29T00:44:00Z</dcterms:created>
  <dcterms:modified xsi:type="dcterms:W3CDTF">2013-06-29T00:45:00Z</dcterms:modified>
</cp:coreProperties>
</file>